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w:body>
    <w:p>
      <w:pPr>
        <w:jc w:val="center"/>
        <w:rPr>
          <w:rFonts w:ascii="Segoe UI" w:cs="Segoe UI" w:hAnsi="Segoe UI"/>
          <w:b/>
          <w:bCs/>
          <w:sz w:val="36"/>
          <w:szCs w:val="36"/>
          <w:lang w:val="en-US"/>
        </w:rPr>
      </w:pPr>
      <w:r>
        <w:rPr>
          <w:rFonts w:ascii="Segoe UI" w:cs="Segoe UI" w:hAnsi="Segoe UI"/>
          <w:b/>
          <w:bCs/>
          <w:sz w:val="36"/>
          <w:szCs w:val="36"/>
          <w:lang w:val="en-US"/>
        </w:rPr>
        <w:t>Product Quality Assurance: Ensuring Excellence in Organic Fertilizers and Biostimulants</w:t>
      </w:r>
    </w:p>
    <w:p>
      <w:pPr>
        <w:pStyle w:val="NoSpacing"/>
        <w:rPr>
          <w:rFonts w:ascii="Segoe UI" w:cs="Segoe UI" w:hAnsi="Segoe UI"/>
          <w:sz w:val="20"/>
          <w:szCs w:val="20"/>
          <w:lang w:val="en-US"/>
        </w:rPr>
      </w:pPr>
      <w:r>
        <w:rPr>
          <w:rFonts w:ascii="Segoe UI" w:cs="Segoe UI" w:hAnsi="Segoe UI"/>
          <w:sz w:val="20"/>
          <w:szCs w:val="20"/>
          <w:lang w:val="en-US"/>
        </w:rPr>
        <w:t>The Product Quality Assurance service ensures that organic fertilizers and biostimulants meet the highest industry standards before reaching the market. We implement rigorous quality control processes, conduct laboratory testing, and verify product performance to maintain consistency, compliance, and customer trust. By working closely with manufacturers, we ensure that every batch of fertilizer or biostimulant adheres to strict quality and regulatory standards, protecting businesses from product failures and ensuring end-user satisfaction.</w:t>
      </w:r>
    </w:p>
    <w:p>
      <w:pPr>
        <w:pStyle w:val="NoSpacing"/>
        <w:rPr>
          <w:rFonts w:ascii="Segoe UI" w:cs="Segoe UI" w:hAnsi="Segoe UI"/>
          <w:sz w:val="20"/>
          <w:szCs w:val="20"/>
        </w:rPr>
      </w:pPr>
    </w:p>
    <w:p>
      <w:pPr>
        <w:pStyle w:val="NoSpacing"/>
        <w:jc w:val="center"/>
        <w:rPr>
          <w:rFonts w:ascii="Segoe UI" w:cs="Segoe UI" w:hAnsi="Segoe UI"/>
          <w:sz w:val="32"/>
          <w:szCs w:val="32"/>
          <w:lang w:val="en-US"/>
        </w:rPr>
      </w:pPr>
      <w:r>
        <w:rPr>
          <w:rFonts w:ascii="Segoe UI" w:cs="Segoe UI" w:hAnsi="Segoe UI"/>
          <w:sz w:val="32"/>
          <w:szCs w:val="32"/>
          <w:lang w:val="en-US"/>
        </w:rPr>
        <w:t>Key Components of the Product Quality Assurance Service</w:t>
      </w:r>
    </w:p>
    <w:p>
      <w:pPr>
        <w:pStyle w:val="NoSpacing"/>
        <w:jc w:val="center"/>
        <w:rPr>
          <w:rFonts w:ascii="Segoe UI" w:cs="Segoe UI" w:hAnsi="Segoe UI"/>
          <w:sz w:val="32"/>
          <w:szCs w:val="32"/>
          <w:lang w:val="en-US"/>
        </w:rPr>
      </w:pPr>
    </w:p>
    <w:p>
      <w:pPr>
        <w:pStyle w:val="NoSpacing"/>
        <w:rPr>
          <w:rFonts w:ascii="Segoe UI" w:cs="Segoe UI" w:hAnsi="Segoe UI"/>
          <w:b/>
          <w:bCs/>
          <w:sz w:val="20"/>
          <w:szCs w:val="20"/>
          <w:lang w:val="en-US"/>
        </w:rPr>
      </w:pPr>
      <w:r>
        <w:rPr>
          <w:rFonts w:ascii="Segoe UI" w:cs="Segoe UI" w:hAnsi="Segoe UI"/>
          <w:b/>
          <w:bCs/>
          <w:sz w:val="20"/>
          <w:szCs w:val="20"/>
          <w:lang w:val="en-US"/>
        </w:rPr>
        <w:t>1. Comprehensive Quality Control Processes</w:t>
      </w:r>
    </w:p>
    <w:p>
      <w:pPr>
        <w:pStyle w:val="NoSpacing"/>
        <w:rPr>
          <w:rFonts w:ascii="Segoe UI" w:cs="Segoe UI" w:hAnsi="Segoe UI"/>
          <w:sz w:val="20"/>
          <w:szCs w:val="20"/>
          <w:lang w:val="en-US"/>
        </w:rPr>
      </w:pPr>
      <w:r>
        <w:rPr>
          <w:rFonts w:ascii="Segoe UI" w:cs="Segoe UI" w:hAnsi="Segoe UI"/>
          <w:sz w:val="20"/>
          <w:szCs w:val="20"/>
          <w:lang w:val="en-US"/>
        </w:rPr>
        <w:t>We develop and implement customized quality control protocols tailored to each product type, ensuring:</w:t>
      </w:r>
    </w:p>
    <w:p>
      <w:pPr>
        <w:pStyle w:val="NoSpacing"/>
        <w:numPr>
          <w:ilvl w:val="0"/>
          <w:numId w:val="1"/>
        </w:numPr>
        <w:rPr>
          <w:rFonts w:ascii="Segoe UI" w:cs="Segoe UI" w:hAnsi="Segoe UI"/>
          <w:sz w:val="20"/>
          <w:szCs w:val="20"/>
          <w:lang w:val="en-US"/>
        </w:rPr>
      </w:pPr>
      <w:r>
        <w:rPr>
          <w:rFonts w:ascii="Segoe UI" w:cs="Segoe UI" w:hAnsi="Segoe UI"/>
          <w:sz w:val="20"/>
          <w:szCs w:val="20"/>
          <w:lang w:val="en-US"/>
        </w:rPr>
        <w:t>Consistency in formulation and ingredient quality across production batches.</w:t>
      </w:r>
    </w:p>
    <w:p>
      <w:pPr>
        <w:pStyle w:val="NoSpacing"/>
        <w:numPr>
          <w:ilvl w:val="0"/>
          <w:numId w:val="1"/>
        </w:numPr>
        <w:rPr>
          <w:rFonts w:ascii="Segoe UI" w:cs="Segoe UI" w:hAnsi="Segoe UI"/>
          <w:sz w:val="20"/>
          <w:szCs w:val="20"/>
          <w:lang w:val="en-US"/>
        </w:rPr>
      </w:pPr>
      <w:r>
        <w:rPr>
          <w:rFonts w:ascii="Segoe UI" w:cs="Segoe UI" w:hAnsi="Segoe UI"/>
          <w:sz w:val="20"/>
          <w:szCs w:val="20"/>
          <w:lang w:val="en-US"/>
        </w:rPr>
        <w:t>Adherence to organic certification requirements (OMRI, USDA Organic, EU Organic).</w:t>
      </w:r>
    </w:p>
    <w:p>
      <w:pPr>
        <w:pStyle w:val="NoSpacing"/>
        <w:numPr>
          <w:ilvl w:val="0"/>
          <w:numId w:val="1"/>
        </w:numPr>
        <w:rPr>
          <w:rFonts w:ascii="Segoe UI" w:cs="Segoe UI" w:hAnsi="Segoe UI"/>
          <w:sz w:val="20"/>
          <w:szCs w:val="20"/>
          <w:lang w:val="en-US"/>
        </w:rPr>
      </w:pPr>
      <w:r>
        <w:rPr>
          <w:rFonts w:ascii="Segoe UI" w:cs="Segoe UI" w:hAnsi="Segoe UI"/>
          <w:sz w:val="20"/>
          <w:szCs w:val="20"/>
          <w:lang w:val="en-US"/>
        </w:rPr>
        <w:t>Verification of purity, potency, and stability in organic fertilizers and biostimulants.</w:t>
      </w:r>
    </w:p>
    <w:p>
      <w:pPr>
        <w:pStyle w:val="NoSpacing"/>
        <w:numPr>
          <w:ilvl w:val="0"/>
          <w:numId w:val="1"/>
        </w:numPr>
        <w:rPr>
          <w:rFonts w:ascii="Segoe UI" w:cs="Segoe UI" w:hAnsi="Segoe UI"/>
          <w:sz w:val="20"/>
          <w:szCs w:val="20"/>
          <w:lang w:val="en-US"/>
        </w:rPr>
      </w:pPr>
      <w:r>
        <w:rPr>
          <w:rFonts w:ascii="Segoe UI" w:cs="Segoe UI" w:hAnsi="Segoe UI"/>
          <w:sz w:val="20"/>
          <w:szCs w:val="20"/>
          <w:lang w:val="en-US"/>
        </w:rPr>
        <w:t>Elimination of contaminants, such as heavy metals, synthetic additives, or harmful pathogens.</w:t>
      </w:r>
    </w:p>
    <w:p>
      <w:pPr>
        <w:pStyle w:val="NoSpacing"/>
        <w:rPr>
          <w:rFonts w:ascii="Segoe UI" w:cs="Segoe UI" w:hAnsi="Segoe UI"/>
          <w:i/>
          <w:iCs/>
          <w:sz w:val="20"/>
          <w:szCs w:val="20"/>
          <w:lang w:val="en-US"/>
        </w:rPr>
      </w:pPr>
      <w:r>
        <w:rPr>
          <w:rFonts w:ascii="Segoe UI" w:cs="Segoe UI" w:hAnsi="Segoe UI"/>
          <w:i/>
          <w:iCs/>
          <w:sz w:val="20"/>
          <w:szCs w:val="20"/>
          <w:lang w:val="en-US"/>
        </w:rPr>
        <w:t>For example, if a seaweed-based biostimulant is being manufactured, we ensure its bioactive comp</w:t>
      </w:r>
      <w:r>
        <w:rPr>
          <w:rFonts w:ascii="Segoe UI" w:cs="Segoe UI" w:hAnsi="Segoe UI"/>
          <w:i/>
          <w:iCs/>
          <w:sz w:val="20"/>
          <w:szCs w:val="20"/>
          <w:lang w:val="en-US"/>
        </w:rPr>
        <w:t>ounds remain stable, free from microbial contamination, and effective in plant growth enhancement.</w:t>
      </w:r>
    </w:p>
    <w:p>
      <w:pPr>
        <w:pStyle w:val="NoSpacing"/>
        <w:rPr>
          <w:rFonts w:ascii="Segoe UI" w:cs="Segoe UI" w:hAnsi="Segoe UI"/>
          <w:sz w:val="20"/>
          <w:szCs w:val="20"/>
        </w:rPr>
      </w:pPr>
    </w:p>
    <w:p>
      <w:pPr>
        <w:pStyle w:val="NoSpacing"/>
        <w:rPr>
          <w:rFonts w:ascii="Segoe UI" w:cs="Segoe UI" w:hAnsi="Segoe UI"/>
          <w:b/>
          <w:bCs/>
          <w:sz w:val="20"/>
          <w:szCs w:val="20"/>
          <w:lang w:val="en-US"/>
        </w:rPr>
      </w:pPr>
      <w:r>
        <w:rPr>
          <w:rFonts w:ascii="Segoe UI" w:cs="Segoe UI" w:hAnsi="Segoe UI"/>
          <w:b/>
          <w:bCs/>
          <w:sz w:val="20"/>
          <w:szCs w:val="20"/>
          <w:lang w:val="en-US"/>
        </w:rPr>
        <w:t>2. Laboratory Testing &amp; Analytical Verification</w:t>
      </w:r>
    </w:p>
    <w:p>
      <w:pPr>
        <w:pStyle w:val="NoSpacing"/>
        <w:rPr>
          <w:rFonts w:ascii="Segoe UI" w:cs="Segoe UI" w:hAnsi="Segoe UI"/>
          <w:sz w:val="20"/>
          <w:szCs w:val="20"/>
          <w:lang w:val="en-US"/>
        </w:rPr>
      </w:pPr>
      <w:r>
        <w:rPr>
          <w:rFonts w:ascii="Segoe UI" w:cs="Segoe UI" w:hAnsi="Segoe UI"/>
          <w:sz w:val="20"/>
          <w:szCs w:val="20"/>
          <w:lang w:val="en-US"/>
        </w:rPr>
        <w:t>We conduct comprehensive laboratory testing to validate product integrity, including:</w:t>
      </w:r>
    </w:p>
    <w:p>
      <w:pPr>
        <w:pStyle w:val="NoSpacing"/>
        <w:numPr>
          <w:ilvl w:val="0"/>
          <w:numId w:val="2"/>
        </w:numPr>
        <w:rPr>
          <w:rFonts w:ascii="Segoe UI" w:cs="Segoe UI" w:hAnsi="Segoe UI"/>
          <w:sz w:val="20"/>
          <w:szCs w:val="20"/>
          <w:lang w:val="en-US"/>
        </w:rPr>
      </w:pPr>
      <w:r>
        <w:rPr>
          <w:rFonts w:ascii="Segoe UI" w:cs="Segoe UI" w:hAnsi="Segoe UI"/>
          <w:sz w:val="20"/>
          <w:szCs w:val="20"/>
          <w:lang w:val="en-US"/>
        </w:rPr>
        <w:t>Nutrient composition analysis (e.g., nitrogen, phosphorus, potassium, micronutrients).</w:t>
      </w:r>
    </w:p>
    <w:p>
      <w:pPr>
        <w:pStyle w:val="NoSpacing"/>
        <w:numPr>
          <w:ilvl w:val="0"/>
          <w:numId w:val="2"/>
        </w:numPr>
        <w:rPr>
          <w:rFonts w:ascii="Segoe UI" w:cs="Segoe UI" w:hAnsi="Segoe UI"/>
          <w:sz w:val="20"/>
          <w:szCs w:val="20"/>
          <w:lang w:val="en-US"/>
        </w:rPr>
      </w:pPr>
      <w:r>
        <w:rPr>
          <w:rFonts w:ascii="Segoe UI" w:cs="Segoe UI" w:hAnsi="Segoe UI"/>
          <w:sz w:val="20"/>
          <w:szCs w:val="20"/>
          <w:lang w:val="en-US"/>
        </w:rPr>
        <w:t>Microbial viability testing for probiotics, mycorrhizae, and beneficial bacteria.</w:t>
      </w:r>
    </w:p>
    <w:p>
      <w:pPr>
        <w:pStyle w:val="NoSpacing"/>
        <w:numPr>
          <w:ilvl w:val="0"/>
          <w:numId w:val="2"/>
        </w:numPr>
        <w:rPr>
          <w:rFonts w:ascii="Segoe UI" w:cs="Segoe UI" w:hAnsi="Segoe UI"/>
          <w:sz w:val="20"/>
          <w:szCs w:val="20"/>
          <w:lang w:val="en-US"/>
        </w:rPr>
      </w:pPr>
      <w:r>
        <w:rPr>
          <w:rFonts w:ascii="Segoe UI" w:cs="Segoe UI" w:hAnsi="Segoe UI"/>
          <w:sz w:val="20"/>
          <w:szCs w:val="20"/>
          <w:lang w:val="en-US"/>
        </w:rPr>
        <w:t>Heavy metal screening to ensure products meet safety limits set by regulatory bodies.</w:t>
      </w:r>
    </w:p>
    <w:p>
      <w:pPr>
        <w:pStyle w:val="NoSpacing"/>
        <w:numPr>
          <w:ilvl w:val="0"/>
          <w:numId w:val="2"/>
        </w:numPr>
        <w:rPr>
          <w:rFonts w:ascii="Segoe UI" w:cs="Segoe UI" w:hAnsi="Segoe UI"/>
          <w:sz w:val="20"/>
          <w:szCs w:val="20"/>
          <w:lang w:val="en-US"/>
        </w:rPr>
      </w:pPr>
      <w:r>
        <w:rPr>
          <w:rFonts w:ascii="Segoe UI" w:cs="Segoe UI" w:hAnsi="Segoe UI"/>
          <w:sz w:val="20"/>
          <w:szCs w:val="20"/>
          <w:lang w:val="en-US"/>
        </w:rPr>
        <w:t>pH and solubility tests to confirm compatibility with different soil and water conditions.</w:t>
      </w:r>
    </w:p>
    <w:p>
      <w:pPr>
        <w:pStyle w:val="NoSpacing"/>
        <w:numPr>
          <w:ilvl w:val="0"/>
          <w:numId w:val="2"/>
        </w:numPr>
        <w:rPr>
          <w:rFonts w:ascii="Segoe UI" w:cs="Segoe UI" w:hAnsi="Segoe UI"/>
          <w:sz w:val="20"/>
          <w:szCs w:val="20"/>
          <w:lang w:val="en-US"/>
        </w:rPr>
      </w:pPr>
      <w:r>
        <w:rPr>
          <w:rFonts w:ascii="Segoe UI" w:cs="Segoe UI" w:hAnsi="Segoe UI"/>
          <w:sz w:val="20"/>
          <w:szCs w:val="20"/>
          <w:lang w:val="en-US"/>
        </w:rPr>
        <w:t>Shelf-life testing to verify product stability over time.</w:t>
      </w:r>
    </w:p>
    <w:p>
      <w:pPr>
        <w:pStyle w:val="NoSpacing"/>
        <w:rPr>
          <w:rFonts w:ascii="Segoe UI" w:cs="Segoe UI" w:hAnsi="Segoe UI"/>
          <w:i/>
          <w:iCs/>
          <w:sz w:val="20"/>
          <w:szCs w:val="20"/>
          <w:lang w:val="en-US"/>
        </w:rPr>
      </w:pPr>
      <w:r>
        <w:rPr>
          <w:rFonts w:ascii="Segoe UI" w:cs="Segoe UI" w:hAnsi="Segoe UI"/>
          <w:i/>
          <w:iCs/>
          <w:sz w:val="20"/>
          <w:szCs w:val="20"/>
          <w:lang w:val="en-US"/>
        </w:rPr>
        <w:t>For instance, if a humic acid-based soil amendment claims to improve nutrient uptake, we conduct lab tests to quantify its humic and fulvic acid content, assess solubility, and ensure consistency in formulation.</w:t>
      </w:r>
    </w:p>
    <w:p>
      <w:pPr>
        <w:pStyle w:val="NoSpacing"/>
        <w:rPr>
          <w:rFonts w:ascii="Segoe UI" w:cs="Segoe UI" w:hAnsi="Segoe UI"/>
          <w:sz w:val="20"/>
          <w:szCs w:val="20"/>
        </w:rPr>
      </w:pPr>
    </w:p>
    <w:p>
      <w:pPr>
        <w:pStyle w:val="NoSpacing"/>
        <w:rPr>
          <w:rFonts w:ascii="Segoe UI" w:cs="Segoe UI" w:hAnsi="Segoe UI"/>
          <w:b/>
          <w:bCs/>
          <w:sz w:val="20"/>
          <w:szCs w:val="20"/>
          <w:lang w:val="en-US"/>
        </w:rPr>
      </w:pPr>
      <w:r>
        <w:rPr>
          <w:rFonts w:ascii="Segoe UI" w:cs="Segoe UI" w:hAnsi="Segoe UI"/>
          <w:b/>
          <w:bCs/>
          <w:sz w:val="20"/>
          <w:szCs w:val="20"/>
          <w:lang w:val="en-US"/>
        </w:rPr>
        <w:t>3. Batch Verification &amp; Production Oversight</w:t>
      </w:r>
    </w:p>
    <w:p>
      <w:pPr>
        <w:pStyle w:val="NoSpacing"/>
        <w:rPr>
          <w:rFonts w:ascii="Segoe UI" w:cs="Segoe UI" w:hAnsi="Segoe UI"/>
          <w:sz w:val="20"/>
          <w:szCs w:val="20"/>
          <w:lang w:val="en-US"/>
        </w:rPr>
      </w:pPr>
      <w:r>
        <w:rPr>
          <w:rFonts w:ascii="Segoe UI" w:cs="Segoe UI" w:hAnsi="Segoe UI"/>
          <w:sz w:val="20"/>
          <w:szCs w:val="20"/>
          <w:lang w:val="en-US"/>
        </w:rPr>
        <w:t>Our team works closely with manufacturers to:</w:t>
      </w:r>
    </w:p>
    <w:p>
      <w:pPr>
        <w:pStyle w:val="NoSpacing"/>
        <w:numPr>
          <w:ilvl w:val="0"/>
          <w:numId w:val="3"/>
        </w:numPr>
        <w:rPr>
          <w:rFonts w:ascii="Segoe UI" w:cs="Segoe UI" w:hAnsi="Segoe UI"/>
          <w:sz w:val="20"/>
          <w:szCs w:val="20"/>
          <w:lang w:val="en-US"/>
        </w:rPr>
      </w:pPr>
      <w:r>
        <w:rPr>
          <w:rFonts w:ascii="Segoe UI" w:cs="Segoe UI" w:hAnsi="Segoe UI"/>
          <w:sz w:val="20"/>
          <w:szCs w:val="20"/>
          <w:lang w:val="en-US"/>
        </w:rPr>
        <w:t>Monitor raw material sourcing, ensuring all inputs meet organic standards.</w:t>
      </w:r>
    </w:p>
    <w:p>
      <w:pPr>
        <w:pStyle w:val="NoSpacing"/>
        <w:numPr>
          <w:ilvl w:val="0"/>
          <w:numId w:val="3"/>
        </w:numPr>
        <w:rPr>
          <w:rFonts w:ascii="Segoe UI" w:cs="Segoe UI" w:hAnsi="Segoe UI"/>
          <w:sz w:val="20"/>
          <w:szCs w:val="20"/>
          <w:lang w:val="en-US"/>
        </w:rPr>
      </w:pPr>
      <w:r>
        <w:rPr>
          <w:rFonts w:ascii="Segoe UI" w:cs="Segoe UI" w:hAnsi="Segoe UI"/>
          <w:sz w:val="20"/>
          <w:szCs w:val="20"/>
          <w:lang w:val="en-US"/>
        </w:rPr>
        <w:t>Conduct in-process quality checks during production to prevent formulation deviations.</w:t>
      </w:r>
    </w:p>
    <w:p>
      <w:pPr>
        <w:pStyle w:val="NoSpacing"/>
        <w:numPr>
          <w:ilvl w:val="0"/>
          <w:numId w:val="3"/>
        </w:numPr>
        <w:rPr>
          <w:rFonts w:ascii="Segoe UI" w:cs="Segoe UI" w:hAnsi="Segoe UI"/>
          <w:sz w:val="20"/>
          <w:szCs w:val="20"/>
          <w:lang w:val="en-US"/>
        </w:rPr>
      </w:pPr>
      <w:r>
        <w:rPr>
          <w:rFonts w:ascii="Segoe UI" w:cs="Segoe UI" w:hAnsi="Segoe UI"/>
          <w:sz w:val="20"/>
          <w:szCs w:val="20"/>
          <w:lang w:val="en-US"/>
        </w:rPr>
        <w:t>Verify final product consistency before packaging and distribution.</w:t>
      </w:r>
    </w:p>
    <w:p>
      <w:pPr>
        <w:pStyle w:val="NoSpacing"/>
        <w:numPr>
          <w:ilvl w:val="0"/>
          <w:numId w:val="3"/>
        </w:numPr>
        <w:rPr>
          <w:rFonts w:ascii="Segoe UI" w:cs="Segoe UI" w:hAnsi="Segoe UI"/>
          <w:sz w:val="20"/>
          <w:szCs w:val="20"/>
          <w:lang w:val="en-US"/>
        </w:rPr>
      </w:pPr>
      <w:r>
        <w:rPr>
          <w:rFonts w:ascii="Segoe UI" w:cs="Segoe UI" w:hAnsi="Segoe UI"/>
          <w:sz w:val="20"/>
          <w:szCs w:val="20"/>
          <w:lang w:val="en-US"/>
        </w:rPr>
        <w:t>Implement traceability systems to track product quality from production to delivery.</w:t>
      </w:r>
    </w:p>
    <w:p>
      <w:pPr>
        <w:pStyle w:val="NoSpacing"/>
        <w:rPr>
          <w:rFonts w:ascii="Segoe UI" w:cs="Segoe UI" w:hAnsi="Segoe UI"/>
          <w:i/>
          <w:iCs/>
          <w:sz w:val="20"/>
          <w:szCs w:val="20"/>
          <w:lang w:val="en-US"/>
        </w:rPr>
      </w:pPr>
      <w:r>
        <w:rPr>
          <w:rFonts w:ascii="Segoe UI" w:cs="Segoe UI" w:hAnsi="Segoe UI"/>
          <w:i/>
          <w:iCs/>
          <w:sz w:val="20"/>
          <w:szCs w:val="20"/>
          <w:lang w:val="en-US"/>
        </w:rPr>
        <w:t>For example, if a compost tea fertilizer is prone to bacterial contamination, we help establish sterilization protocols, monitor microbial activity, and ensure uniform nutrient content in every batch.</w:t>
      </w:r>
    </w:p>
    <w:p>
      <w:pPr>
        <w:pStyle w:val="NoSpacing"/>
        <w:rPr>
          <w:rFonts w:ascii="Segoe UI" w:cs="Segoe UI" w:hAnsi="Segoe UI"/>
          <w:sz w:val="20"/>
          <w:szCs w:val="20"/>
        </w:rPr>
      </w:pPr>
    </w:p>
    <w:p>
      <w:pPr>
        <w:pStyle w:val="NoSpacing"/>
        <w:rPr>
          <w:rFonts w:ascii="Segoe UI" w:cs="Segoe UI" w:hAnsi="Segoe UI"/>
          <w:b/>
          <w:bCs/>
          <w:sz w:val="20"/>
          <w:szCs w:val="20"/>
          <w:lang w:val="en-US"/>
        </w:rPr>
      </w:pPr>
      <w:r>
        <w:rPr>
          <w:rFonts w:ascii="Segoe UI" w:cs="Segoe UI" w:hAnsi="Segoe UI"/>
          <w:b/>
          <w:bCs/>
          <w:sz w:val="20"/>
          <w:szCs w:val="20"/>
          <w:lang w:val="en-US"/>
        </w:rPr>
        <w:t>4. Compliance with Regulatory Standards</w:t>
      </w:r>
    </w:p>
    <w:p>
      <w:pPr>
        <w:pStyle w:val="NoSpacing"/>
        <w:rPr>
          <w:rFonts w:ascii="Segoe UI" w:cs="Segoe UI" w:hAnsi="Segoe UI"/>
          <w:sz w:val="20"/>
          <w:szCs w:val="20"/>
          <w:lang w:val="en-US"/>
        </w:rPr>
      </w:pPr>
      <w:r>
        <w:rPr>
          <w:rFonts w:ascii="Segoe UI" w:cs="Segoe UI" w:hAnsi="Segoe UI"/>
          <w:sz w:val="20"/>
          <w:szCs w:val="20"/>
          <w:lang w:val="en-US"/>
        </w:rPr>
        <w:t>We ensure that products meet national and international regulatory requirements, including:</w:t>
      </w:r>
    </w:p>
    <w:p>
      <w:pPr>
        <w:pStyle w:val="NoSpacing"/>
        <w:numPr>
          <w:ilvl w:val="0"/>
          <w:numId w:val="4"/>
        </w:numPr>
        <w:rPr>
          <w:rFonts w:ascii="Segoe UI" w:cs="Segoe UI" w:hAnsi="Segoe UI"/>
          <w:sz w:val="20"/>
          <w:szCs w:val="20"/>
          <w:lang w:val="en-US"/>
        </w:rPr>
      </w:pPr>
      <w:r>
        <w:rPr>
          <w:rFonts w:ascii="Segoe UI" w:cs="Segoe UI" w:hAnsi="Segoe UI"/>
          <w:sz w:val="20"/>
          <w:szCs w:val="20"/>
          <w:lang w:val="en-US"/>
        </w:rPr>
        <w:t>USDA Organic and OMRI standards for organic fertilizers and biostimulants.</w:t>
      </w:r>
    </w:p>
    <w:p>
      <w:pPr>
        <w:pStyle w:val="NoSpacing"/>
        <w:numPr>
          <w:ilvl w:val="0"/>
          <w:numId w:val="4"/>
        </w:numPr>
        <w:rPr>
          <w:rFonts w:ascii="Segoe UI" w:cs="Segoe UI" w:hAnsi="Segoe UI"/>
          <w:sz w:val="20"/>
          <w:szCs w:val="20"/>
          <w:lang w:val="en-US"/>
        </w:rPr>
      </w:pPr>
      <w:r>
        <w:rPr>
          <w:rFonts w:ascii="Segoe UI" w:cs="Segoe UI" w:hAnsi="Segoe UI"/>
          <w:sz w:val="20"/>
          <w:szCs w:val="20"/>
          <w:lang w:val="en-US"/>
        </w:rPr>
        <w:t>EPA regulations for microbial and biological agricultural inputs.</w:t>
      </w:r>
    </w:p>
    <w:p>
      <w:pPr>
        <w:pStyle w:val="NoSpacing"/>
        <w:numPr>
          <w:ilvl w:val="0"/>
          <w:numId w:val="4"/>
        </w:numPr>
        <w:rPr>
          <w:rFonts w:ascii="Segoe UI" w:cs="Segoe UI" w:hAnsi="Segoe UI"/>
          <w:sz w:val="20"/>
          <w:szCs w:val="20"/>
          <w:lang w:val="en-US"/>
        </w:rPr>
      </w:pPr>
      <w:r>
        <w:rPr>
          <w:rFonts w:ascii="Segoe UI" w:cs="Segoe UI" w:hAnsi="Segoe UI"/>
          <w:sz w:val="20"/>
          <w:szCs w:val="20"/>
          <w:lang w:val="en-US"/>
        </w:rPr>
        <w:t>ISO and HACCP guidelines for quality and safety assurance.</w:t>
      </w:r>
    </w:p>
    <w:p>
      <w:pPr>
        <w:pStyle w:val="NoSpacing"/>
        <w:numPr>
          <w:ilvl w:val="0"/>
          <w:numId w:val="4"/>
        </w:numPr>
        <w:rPr>
          <w:rFonts w:ascii="Segoe UI" w:cs="Segoe UI" w:hAnsi="Segoe UI"/>
          <w:sz w:val="20"/>
          <w:szCs w:val="20"/>
          <w:lang w:val="en-US"/>
        </w:rPr>
      </w:pPr>
      <w:r>
        <w:rPr>
          <w:rFonts w:ascii="Segoe UI" w:cs="Segoe UI" w:hAnsi="Segoe UI"/>
          <w:sz w:val="20"/>
          <w:szCs w:val="20"/>
          <w:lang w:val="en-US"/>
        </w:rPr>
        <w:t>State-level fertilizer registration requirements in the U.S.</w:t>
      </w:r>
    </w:p>
    <w:p>
      <w:pPr>
        <w:pStyle w:val="NoSpacing"/>
        <w:rPr>
          <w:rFonts w:ascii="Segoe UI" w:cs="Segoe UI" w:hAnsi="Segoe UI"/>
          <w:i/>
          <w:iCs/>
          <w:sz w:val="20"/>
          <w:szCs w:val="20"/>
          <w:lang w:val="en-US"/>
        </w:rPr>
      </w:pPr>
      <w:r>
        <w:rPr>
          <w:rFonts w:ascii="Segoe UI" w:cs="Segoe UI" w:hAnsi="Segoe UI"/>
          <w:i/>
          <w:iCs/>
          <w:sz w:val="20"/>
          <w:szCs w:val="20"/>
          <w:lang w:val="en-US"/>
        </w:rPr>
        <w:t>For instance, if a fermented plant extract biostimulant is intended for organic certification, we assist in preparing technical documentation, verifying ingredient compliance, and ensuring product safety.</w:t>
      </w:r>
    </w:p>
    <w:p>
      <w:pPr>
        <w:pStyle w:val="NoSpacing"/>
        <w:rPr>
          <w:rFonts w:ascii="Segoe UI" w:cs="Segoe UI" w:hAnsi="Segoe UI"/>
          <w:sz w:val="20"/>
          <w:szCs w:val="20"/>
        </w:rPr>
      </w:pPr>
    </w:p>
    <w:p>
      <w:pPr>
        <w:pStyle w:val="NoSpacing"/>
        <w:rPr>
          <w:rFonts w:ascii="Segoe UI" w:cs="Segoe UI" w:hAnsi="Segoe UI"/>
          <w:b/>
          <w:bCs/>
          <w:sz w:val="20"/>
          <w:szCs w:val="20"/>
          <w:lang w:val="en-US"/>
        </w:rPr>
      </w:pPr>
      <w:r>
        <w:rPr>
          <w:rFonts w:ascii="Segoe UI" w:cs="Segoe UI" w:hAnsi="Segoe UI"/>
          <w:b/>
          <w:bCs/>
          <w:sz w:val="20"/>
          <w:szCs w:val="20"/>
          <w:lang w:val="en-US"/>
        </w:rPr>
        <w:t>5. Performance Testing &amp; Field Validation</w:t>
      </w:r>
    </w:p>
    <w:p>
      <w:pPr>
        <w:pStyle w:val="NoSpacing"/>
        <w:rPr>
          <w:rFonts w:ascii="Segoe UI" w:cs="Segoe UI" w:hAnsi="Segoe UI"/>
          <w:sz w:val="20"/>
          <w:szCs w:val="20"/>
          <w:lang w:val="en-US"/>
        </w:rPr>
      </w:pPr>
      <w:r>
        <w:rPr>
          <w:rFonts w:ascii="Segoe UI" w:cs="Segoe UI" w:hAnsi="Segoe UI"/>
          <w:sz w:val="20"/>
          <w:szCs w:val="20"/>
          <w:lang w:val="en-US"/>
        </w:rPr>
        <w:t>Beyond laboratory testing, we conduct real-world field trials to:</w:t>
      </w:r>
    </w:p>
    <w:p>
      <w:pPr>
        <w:pStyle w:val="NoSpacing"/>
        <w:numPr>
          <w:ilvl w:val="0"/>
          <w:numId w:val="5"/>
        </w:numPr>
        <w:rPr>
          <w:rFonts w:ascii="Segoe UI" w:cs="Segoe UI" w:hAnsi="Segoe UI"/>
          <w:sz w:val="20"/>
          <w:szCs w:val="20"/>
          <w:lang w:val="en-US"/>
        </w:rPr>
      </w:pPr>
      <w:r>
        <w:rPr>
          <w:rFonts w:ascii="Segoe UI" w:cs="Segoe UI" w:hAnsi="Segoe UI"/>
          <w:sz w:val="20"/>
          <w:szCs w:val="20"/>
          <w:lang w:val="en-US"/>
        </w:rPr>
        <w:t>Confirm product efficacy on various crops and soil types.</w:t>
      </w:r>
    </w:p>
    <w:p>
      <w:pPr>
        <w:pStyle w:val="NoSpacing"/>
        <w:numPr>
          <w:ilvl w:val="0"/>
          <w:numId w:val="5"/>
        </w:numPr>
        <w:rPr>
          <w:rFonts w:ascii="Segoe UI" w:cs="Segoe UI" w:hAnsi="Segoe UI"/>
          <w:sz w:val="20"/>
          <w:szCs w:val="20"/>
          <w:lang w:val="en-US"/>
        </w:rPr>
      </w:pPr>
      <w:r>
        <w:rPr>
          <w:rFonts w:ascii="Segoe UI" w:cs="Segoe UI" w:hAnsi="Segoe UI"/>
          <w:sz w:val="20"/>
          <w:szCs w:val="20"/>
          <w:lang w:val="en-US"/>
        </w:rPr>
        <w:t>Assess plant growth response, yield improvement, and soil health benefits.</w:t>
      </w:r>
    </w:p>
    <w:p>
      <w:pPr>
        <w:pStyle w:val="NoSpacing"/>
        <w:numPr>
          <w:ilvl w:val="0"/>
          <w:numId w:val="5"/>
        </w:numPr>
        <w:rPr>
          <w:rFonts w:ascii="Segoe UI" w:cs="Segoe UI" w:hAnsi="Segoe UI"/>
          <w:sz w:val="20"/>
          <w:szCs w:val="20"/>
          <w:lang w:val="en-US"/>
        </w:rPr>
      </w:pPr>
      <w:r>
        <w:rPr>
          <w:rFonts w:ascii="Segoe UI" w:cs="Segoe UI" w:hAnsi="Segoe UI"/>
          <w:sz w:val="20"/>
          <w:szCs w:val="20"/>
          <w:lang w:val="en-US"/>
        </w:rPr>
        <w:t>Compare performance against competitor products in controlled and real-world environments.</w:t>
      </w:r>
    </w:p>
    <w:p>
      <w:pPr>
        <w:pStyle w:val="NoSpacing"/>
        <w:numPr>
          <w:ilvl w:val="0"/>
          <w:numId w:val="5"/>
        </w:numPr>
        <w:rPr>
          <w:rFonts w:ascii="Segoe UI" w:cs="Segoe UI" w:hAnsi="Segoe UI"/>
          <w:sz w:val="20"/>
          <w:szCs w:val="20"/>
          <w:lang w:val="en-US"/>
        </w:rPr>
      </w:pPr>
      <w:r>
        <w:rPr>
          <w:rFonts w:ascii="Segoe UI" w:cs="Segoe UI" w:hAnsi="Segoe UI"/>
          <w:sz w:val="20"/>
          <w:szCs w:val="20"/>
          <w:lang w:val="en-US"/>
        </w:rPr>
        <w:t>Collect customer feedback and refine formulations for optimal market success.</w:t>
      </w:r>
    </w:p>
    <w:p>
      <w:pPr>
        <w:pStyle w:val="NoSpacing"/>
        <w:rPr>
          <w:rFonts w:ascii="Segoe UI" w:cs="Segoe UI" w:hAnsi="Segoe UI"/>
          <w:i/>
          <w:iCs/>
          <w:sz w:val="20"/>
          <w:szCs w:val="20"/>
          <w:lang w:val="en-US"/>
        </w:rPr>
      </w:pPr>
      <w:r>
        <w:rPr>
          <w:rFonts w:ascii="Segoe UI" w:cs="Segoe UI" w:hAnsi="Segoe UI"/>
          <w:i/>
          <w:iCs/>
          <w:sz w:val="20"/>
          <w:szCs w:val="20"/>
          <w:lang w:val="en-US"/>
        </w:rPr>
        <w:t>For example, if a liquid fish fertilizer claims to boost root development, we test its effects across different crops, analyzing root mass, nutrient uptake, and overall plant health over multiple growing cycles.</w:t>
      </w:r>
    </w:p>
    <w:p>
      <w:pPr>
        <w:pStyle w:val="NoSpacing"/>
        <w:rPr>
          <w:rFonts w:ascii="Segoe UI" w:cs="Segoe UI" w:hAnsi="Segoe UI"/>
          <w:sz w:val="20"/>
          <w:szCs w:val="20"/>
        </w:rPr>
      </w:pPr>
    </w:p>
    <w:p>
      <w:pPr>
        <w:pStyle w:val="NoSpacing"/>
        <w:rPr>
          <w:rFonts w:ascii="Segoe UI" w:cs="Segoe UI" w:hAnsi="Segoe UI"/>
          <w:b/>
          <w:bCs/>
          <w:sz w:val="20"/>
          <w:szCs w:val="20"/>
          <w:lang w:val="en-US"/>
        </w:rPr>
      </w:pPr>
      <w:r>
        <w:rPr>
          <w:rFonts w:ascii="Segoe UI" w:cs="Segoe UI" w:hAnsi="Segoe UI"/>
          <w:b/>
          <w:bCs/>
          <w:sz w:val="20"/>
          <w:szCs w:val="20"/>
          <w:lang w:val="en-US"/>
        </w:rPr>
        <w:t>How This Service Benefits Businesses</w:t>
      </w:r>
    </w:p>
    <w:p>
      <w:pPr>
        <w:pStyle w:val="NoSpacing"/>
        <w:rPr>
          <w:rFonts w:ascii="Segoe UI" w:cs="Segoe UI" w:hAnsi="Segoe UI"/>
          <w:sz w:val="20"/>
          <w:szCs w:val="20"/>
        </w:rPr>
      </w:pPr>
      <w:r>
        <w:rPr>
          <w:rFonts w:ascii="Segoe UI" w:cs="Segoe UI" w:hAnsi="Segoe UI"/>
          <w:sz w:val="20"/>
          <w:szCs w:val="20"/>
        </w:rPr>
        <w:t>✔ Ensures product consistency, reducing batch-to-batch variability.</w:t>
      </w:r>
    </w:p>
    <w:p>
      <w:pPr>
        <w:pStyle w:val="NoSpacing"/>
        <w:rPr>
          <w:rFonts w:ascii="Segoe UI" w:cs="Segoe UI" w:hAnsi="Segoe UI"/>
          <w:sz w:val="20"/>
          <w:szCs w:val="20"/>
        </w:rPr>
      </w:pPr>
      <w:r>
        <w:rPr>
          <w:rFonts w:ascii="Segoe UI" w:cs="Segoe UI" w:hAnsi="Segoe UI"/>
          <w:sz w:val="20"/>
          <w:szCs w:val="20"/>
        </w:rPr>
        <w:t>✔ Prevents costly recalls and product failures, safeguarding brand reputation.</w:t>
      </w:r>
    </w:p>
    <w:p>
      <w:pPr>
        <w:pStyle w:val="NoSpacing"/>
        <w:rPr>
          <w:rFonts w:ascii="Segoe UI" w:cs="Segoe UI" w:hAnsi="Segoe UI"/>
          <w:sz w:val="20"/>
          <w:szCs w:val="20"/>
        </w:rPr>
      </w:pPr>
      <w:r>
        <w:rPr>
          <w:rFonts w:ascii="Segoe UI" w:cs="Segoe UI" w:hAnsi="Segoe UI"/>
          <w:sz w:val="20"/>
          <w:szCs w:val="20"/>
        </w:rPr>
        <w:t>✔ Strengthens regulatory compliance, streamlining certification and market approval.</w:t>
      </w:r>
    </w:p>
    <w:p>
      <w:pPr>
        <w:pStyle w:val="NoSpacing"/>
        <w:rPr>
          <w:rFonts w:ascii="Segoe UI" w:cs="Segoe UI" w:hAnsi="Segoe UI"/>
          <w:sz w:val="20"/>
          <w:szCs w:val="20"/>
        </w:rPr>
      </w:pPr>
      <w:r>
        <w:rPr>
          <w:rFonts w:ascii="Segoe UI" w:cs="Segoe UI" w:hAnsi="Segoe UI"/>
          <w:sz w:val="20"/>
          <w:szCs w:val="20"/>
        </w:rPr>
        <w:t>✔ Enhances product reliability, improving customer trust and satisfaction.</w:t>
      </w:r>
    </w:p>
    <w:p>
      <w:pPr>
        <w:pStyle w:val="NoSpacing"/>
        <w:rPr>
          <w:rFonts w:ascii="Segoe UI" w:cs="Segoe UI" w:hAnsi="Segoe UI"/>
          <w:sz w:val="20"/>
          <w:szCs w:val="20"/>
        </w:rPr>
      </w:pPr>
      <w:r>
        <w:rPr>
          <w:rFonts w:ascii="Segoe UI" w:cs="Segoe UI" w:hAnsi="Segoe UI"/>
          <w:sz w:val="20"/>
          <w:szCs w:val="20"/>
        </w:rPr>
        <w:t>✔ Provides scientific validation, increasing credibility in the organic agriculture market.</w:t>
      </w:r>
    </w:p>
    <w:p>
      <w:pPr>
        <w:pStyle w:val="NoSpacing"/>
        <w:rPr>
          <w:rFonts w:ascii="Segoe UI" w:cs="Segoe UI" w:hAnsi="Segoe UI"/>
          <w:sz w:val="20"/>
          <w:szCs w:val="20"/>
        </w:rPr>
      </w:pPr>
    </w:p>
    <w:p>
      <w:pPr>
        <w:pStyle w:val="NoSpacing"/>
        <w:rPr>
          <w:rFonts w:ascii="Segoe UI" w:cs="Segoe UI" w:hAnsi="Segoe UI"/>
          <w:sz w:val="20"/>
          <w:szCs w:val="20"/>
          <w:lang w:val="en-US"/>
        </w:rPr>
      </w:pPr>
      <w:r>
        <w:rPr>
          <w:rFonts w:ascii="Segoe UI" w:cs="Segoe UI" w:hAnsi="Segoe UI"/>
          <w:sz w:val="20"/>
          <w:szCs w:val="20"/>
          <w:lang w:val="en-US"/>
        </w:rPr>
        <w:t>By leveraging our Product Quality Assurance service, businesses can confidently deliver high-performing, safe, and compliant organic fertilizers and biostimulants that meet market demands and sustainability goals.</w:t>
      </w:r>
    </w:p>
    <w:p>
      <w:pPr>
        <w:rPr>
          <w:rFonts w:ascii="Segoe UI" w:cs="Segoe UI" w:hAnsi="Segoe UI"/>
        </w:rPr>
      </w:pPr>
    </w:p>
    <w:p>
      <w:pPr>
        <w:rPr/>
      </w:pPr>
    </w:p>
    <w:p>
      <w:pPr>
        <w:rPr/>
      </w:pPr>
    </w:p>
    <w:p>
      <w:pPr>
        <w:rPr/>
      </w:pPr>
    </w:p>
    <w:p>
      <w:pPr>
        <w:rPr/>
      </w:pPr>
    </w:p>
    <w:p>
      <w:pPr>
        <w:rPr/>
      </w:pPr>
    </w:p>
    <w:p>
      <w:pPr>
        <w:rPr/>
      </w:pPr>
    </w:p>
    <w:p/>
    <w:sectPr>
      <w:footnotePr/>
      <w:footnotePr/>
      <w:type w:val="nextPage"/>
      <w:pgSz w:w="11906" w:h="16838" w:orient="portrait"/>
      <w:pgMar w:top="720" w:right="720" w:bottom="72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Segoe UI Variable Text Light"/>
  <w:font w:name="Segoe U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2">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3">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4">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trackRevisions w:val="off"/>
  <w:compat>
    <w:compatSetting w:name="compatibilityMode" w:uri="http://schemas.microsoft.com/office/word" w:val="14"/>
  </w:compat>
  <w:footnotePr/>
  <w:endnotePr/>
  <w:themeFontLang w:val="en-US"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Novotorov</dc:creator>
  <cp:lastModifiedBy>Andrew Novotorov</cp:lastModifiedBy>
</cp:coreProperties>
</file>