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  <w:r>
        <w:rPr>
          <w:rFonts w:ascii="Segoe UI"/>
          <w:b/>
          <w:color w:val="000000"/>
          <w:sz w:val="36"/>
          <w:rtl w:val="off"/>
          <w:lang w:val="en-US"/>
        </w:rPr>
        <w:t>Regulatory Compliance &amp; Standardization: Ensuring Market Readiness for Organic Fertilizers and Biostimulants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Our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Regulatory Compliance &amp; Standardization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service ensures that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organic fertilizers and biostimulants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comply with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national and international regulations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, allowing seamless market entry while avoiding costly delays and legal risks. We provide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expert guidance on meeting the stringent requirements of regulatory bodies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, including the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USDA, FDA, EPA, and international agencies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ensuring that products are legally approved and aligned with industry best practices.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Our team continuously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monitors regulatory updates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and evolving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compliance frameworks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, helping businesses stay ahead of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changing requirements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maintain uninterrupted market access.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  <w:r>
        <w:rPr>
          <w:rFonts w:ascii="Segoe UI"/>
          <w:b/>
          <w:color w:val="000000"/>
          <w:sz w:val="36"/>
          <w:rtl w:val="off"/>
          <w:lang w:val="en-US"/>
        </w:rPr>
        <w:t>Key Components of Our Regulatory Compliance &amp; Standardization Service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36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1. Regulatory Assessment &amp; Certification Guidance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>We assess product formulations, ingredients, and claims to ensure compliance with: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USDA National Organic Program (NOP) standards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organic certification.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OMRI (Organic Materials Review Institute) listing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organic product eligibility.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EPA registration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microbial or biological-based agricultural inputs.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FDA compliance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biostimulants with plant growth enhancement properties.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State-level fertilizer registration requirements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across the U.S.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For exa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mple, if a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sea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weed-based biostimulant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is marketed as an organic growth enhancer, we verify whether its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extraction process, additives, and labeling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meet USDA Organic and OMRI requirements.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2. Product Registration &amp; Label Compliance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>To ensure market readiness, we help businesses: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Prepare and submit product registration applications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relevant regulatory bodies.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Develop compliant product labels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that meet legal and scientific standards.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Ensure accurate ingredient disclosure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avoiding misleading claims.</w:t>
      </w:r>
    </w:p>
    <w:p>
      <w:pPr>
        <w:framePr w:w="0" w:h="0" w:vAnchor="margin" w:hAnchor="text" w:x="0" w:y="0"/>
        <w:numPr>
          <w:ilvl w:val="0"/>
          <w:numId w:val="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Align marketing materials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with permitted terminology under organic regulations.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ind w:left="72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instance, if a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humic acid-based fertilizer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is labeled as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"boosting root strength"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, we verify whether this claim requires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additional scientific backing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to comply with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EPA and USDA advertising guidelines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3. Import &amp; Export Compliance for Global Trade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For businesses involved in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international trade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we provide: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Import clearance support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organic fertilizers and biostimulants entering the U.S. market.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Customs and tariff classification guidance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to minimize duties and regulatory issues.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International export compliance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for destinations like the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EU, Canada, Latin America, and Asia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Documentation preparation for customs filings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including safety data sheets (SDS).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example, when importing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microbial soil enhancers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into the U.S., we help navigate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 xml:space="preserve">EPA microbial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regulations, ISF filings for ocean cargo, and organic certification compatibility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2"/>
          <w:lang w:val="en-US"/>
        </w:rPr>
      </w:pPr>
      <w:r>
        <w:rPr>
          <w:rFonts w:ascii="Segoe UI"/>
          <w:b/>
          <w:color w:val="000000"/>
          <w:sz w:val="32"/>
          <w:rtl w:val="off"/>
          <w:lang w:val="en-US"/>
        </w:rPr>
        <w:t>4. Compliance Monitoring &amp; Industry Updates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>To protect businesses from regulatory risks, we provide: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Ongoing monitoring of U.S. and global regulations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ensuring proactive compliance.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Alerts on regulatory changes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that may impact product formulations or market access.</w:t>
      </w:r>
    </w:p>
    <w:p>
      <w:pPr>
        <w:framePr w:w="0" w:h="0" w:vAnchor="margin" w:hAnchor="text" w:x="0" w:y="0"/>
        <w:numPr>
          <w:ilvl w:val="0"/>
          <w:numId w:val="5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720"/>
        </w:tabs>
        <w:bidi w:val="off"/>
        <w:spacing w:before="0" w:after="0" w:line="240" w:lineRule="auto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Training for manufacturers and distributors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on evolving organic and environmental standards.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i/>
          <w:iCs/>
          <w:color w:val="000000"/>
          <w:sz w:val="20"/>
          <w:szCs w:val="20"/>
          <w:lang w:val="en-US"/>
        </w:rPr>
      </w:pP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For example, if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EU organic fertilizer regulations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 xml:space="preserve"> introduce new </w:t>
      </w:r>
      <w:r>
        <w:rPr>
          <w:rFonts w:ascii="Segoe UI"/>
          <w:b/>
          <w:i/>
          <w:iCs/>
          <w:color w:val="000000"/>
          <w:sz w:val="20"/>
          <w:szCs w:val="20"/>
          <w:rtl w:val="off"/>
          <w:lang w:val="en-US"/>
        </w:rPr>
        <w:t>pesticide residue limits</w:t>
      </w:r>
      <w:r>
        <w:rPr>
          <w:rFonts w:ascii="Segoe UI"/>
          <w:i/>
          <w:iCs/>
          <w:color w:val="000000"/>
          <w:sz w:val="20"/>
          <w:szCs w:val="20"/>
          <w:rtl w:val="off"/>
          <w:lang w:val="en-US"/>
        </w:rPr>
        <w:t>, we guide businesses on adjusting formulations to maintain compliance.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----------------------</w:t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b/>
          <w:color w:val="000000"/>
          <w:sz w:val="36"/>
          <w:rtl w:val="off"/>
          <w:lang w:val="en-US"/>
        </w:rPr>
        <w:t>How This Service Benefits Businesses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Ensures smooth market entry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reducing legal and financial risks.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Prevents costly delays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keeping products compliant with up-to-date regulations.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Strengthens brand credibility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ensuring transparency in product labeling and claims.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Facilitates international expansion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making global trade more accessible.</w:t>
      </w:r>
      <w:r>
        <w:rPr>
          <w:rFonts w:ascii="Segoe UI"/>
          <w:color w:val="000000"/>
          <w:sz w:val="20"/>
          <w:szCs w:val="20"/>
          <w:lang w:val="en-US"/>
        </w:rPr>
        <w:br w:type="textWrapping"/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✔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Protects against regulatory violations</w:t>
      </w:r>
      <w:r>
        <w:rPr>
          <w:rFonts w:ascii="Segoe UI"/>
          <w:color w:val="000000"/>
          <w:sz w:val="20"/>
          <w:szCs w:val="20"/>
          <w:rtl w:val="off"/>
          <w:lang w:val="en-US"/>
        </w:rPr>
        <w:t>, minimizing penalties and product recalls.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0"/>
          <w:szCs w:val="20"/>
          <w:lang w:val="en-US"/>
        </w:rPr>
      </w:pP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By leveraging our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Regulatory Compliance &amp; Standardization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service, businesses can confidently introduce </w:t>
      </w:r>
      <w:r>
        <w:rPr>
          <w:rFonts w:ascii="Segoe UI"/>
          <w:b/>
          <w:color w:val="000000"/>
          <w:sz w:val="20"/>
          <w:szCs w:val="20"/>
          <w:rtl w:val="off"/>
          <w:lang w:val="en-US"/>
        </w:rPr>
        <w:t>safe, effective, and legally approved</w:t>
      </w:r>
      <w:r>
        <w:rPr>
          <w:rFonts w:ascii="Segoe UI"/>
          <w:color w:val="000000"/>
          <w:sz w:val="20"/>
          <w:szCs w:val="20"/>
          <w:rtl w:val="off"/>
          <w:lang w:val="en-US"/>
        </w:rPr>
        <w:t xml:space="preserve"> organic fertilizers and biostimulants into the US market while staying ahead of evolving regulations.</w:t>
      </w:r>
    </w:p>
    <w:p>
      <w:pPr>
        <w:rPr>
          <w:sz w:val="20"/>
          <w:szCs w:val="20"/>
        </w:rPr>
      </w:pPr>
    </w:p>
    <w:sectPr>
      <w:footnotePr/>
      <w:footnotePr/>
      <w:type w:val="nextPage"/>
      <w:pgSz w:w="11906" w:h="16838" w:orient="portrait"/>
      <w:pgMar w:top="720" w:right="720" w:bottom="72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Novotorov</dc:creator>
  <cp:lastModifiedBy>Andrew Novotorov</cp:lastModifiedBy>
</cp:coreProperties>
</file>