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w:body>
    <w:p>
      <w:pPr>
        <w:jc w:val="center"/>
        <w:rPr>
          <w:rFonts w:ascii="Segoe UI" w:cs="Segoe UI" w:hAnsi="Segoe UI"/>
          <w:b/>
          <w:bCs/>
          <w:sz w:val="36"/>
          <w:szCs w:val="36"/>
          <w:lang w:val="en-US"/>
        </w:rPr>
      </w:pPr>
      <w:r>
        <w:rPr>
          <w:rFonts w:ascii="Segoe UI" w:cs="Segoe UI" w:hAnsi="Segoe UI"/>
          <w:b/>
          <w:bCs/>
          <w:sz w:val="36"/>
          <w:szCs w:val="36"/>
          <w:lang w:val="en-US"/>
        </w:rPr>
        <w:t>Labeling &amp; Documentation Review: Ensuring Compliance &amp; Market Readiness</w:t>
      </w:r>
    </w:p>
    <w:p>
      <w:pPr>
        <w:rPr>
          <w:rFonts w:ascii="Segoe UI" w:cs="Segoe UI" w:hAnsi="Segoe UI"/>
          <w:sz w:val="20"/>
          <w:szCs w:val="20"/>
          <w:lang w:val="en-US"/>
        </w:rPr>
      </w:pPr>
      <w:r>
        <w:rPr>
          <w:rFonts w:ascii="Segoe UI" w:cs="Segoe UI" w:hAnsi="Segoe UI"/>
          <w:sz w:val="20"/>
          <w:szCs w:val="20"/>
          <w:lang w:val="en-US"/>
        </w:rPr>
        <w:t>Our Labeling and Documentation Review service ensures that organic fertilizers and biostimulants meet all regulatory, safety, and marketing standards before entering the market. Proper labeling is critical for regulatory approval, consumer trust, and international trade, as inaccurate or misleading labels can lead to delays, fines, or product recalls. Our team conducts comprehensive label and document evaluations to ensure compliance with USDA, EPA, FDA, OMRI, and international standards.</w:t>
      </w:r>
    </w:p>
    <w:p>
      <w:pPr>
        <w:jc w:val="center"/>
        <w:rPr>
          <w:rFonts w:ascii="Segoe UI" w:cs="Segoe UI" w:hAnsi="Segoe UI"/>
          <w:sz w:val="32"/>
          <w:szCs w:val="32"/>
          <w:lang w:val="en-US"/>
        </w:rPr>
      </w:pPr>
      <w:r>
        <w:rPr>
          <w:rFonts w:ascii="Segoe UI" w:cs="Segoe UI" w:hAnsi="Segoe UI"/>
          <w:sz w:val="32"/>
          <w:szCs w:val="32"/>
          <w:lang w:val="en-US"/>
        </w:rPr>
        <w:t>Key Aspects of Our Labeling &amp; Documentation Review Service</w:t>
      </w:r>
    </w:p>
    <w:p>
      <w:pPr>
        <w:rPr>
          <w:rFonts w:ascii="Segoe UI" w:cs="Segoe UI" w:hAnsi="Segoe UI"/>
          <w:b/>
          <w:bCs/>
          <w:sz w:val="20"/>
          <w:szCs w:val="20"/>
          <w:lang w:val="en-US"/>
        </w:rPr>
      </w:pPr>
      <w:r>
        <w:rPr>
          <w:rFonts w:ascii="Segoe UI" w:cs="Segoe UI" w:hAnsi="Segoe UI"/>
          <w:b/>
          <w:bCs/>
          <w:sz w:val="20"/>
          <w:szCs w:val="20"/>
          <w:lang w:val="en-US"/>
        </w:rPr>
        <w:t>1. Regulatory Compliance Check for Labels</w:t>
      </w:r>
    </w:p>
    <w:p>
      <w:pPr>
        <w:rPr>
          <w:rFonts w:ascii="Segoe UI" w:cs="Segoe UI" w:hAnsi="Segoe UI"/>
          <w:sz w:val="20"/>
          <w:szCs w:val="20"/>
          <w:lang w:val="en-US"/>
        </w:rPr>
      </w:pPr>
      <w:r>
        <w:rPr>
          <w:rFonts w:ascii="Segoe UI" w:cs="Segoe UI" w:hAnsi="Segoe UI"/>
          <w:sz w:val="20"/>
          <w:szCs w:val="20"/>
          <w:lang w:val="en-US"/>
        </w:rPr>
        <w:t>We ensure that product labels adhere to domestic and international regulatory requirements, including:</w:t>
      </w:r>
    </w:p>
    <w:p>
      <w:pPr>
        <w:numPr>
          <w:ilvl w:val="0"/>
          <w:numId w:val="1"/>
        </w:numPr>
        <w:rPr>
          <w:rFonts w:ascii="Segoe UI" w:cs="Segoe UI" w:hAnsi="Segoe UI"/>
          <w:sz w:val="20"/>
          <w:szCs w:val="20"/>
          <w:lang w:val="en-US"/>
        </w:rPr>
      </w:pPr>
      <w:r>
        <w:rPr>
          <w:rFonts w:ascii="Segoe UI" w:cs="Segoe UI" w:hAnsi="Segoe UI"/>
          <w:sz w:val="20"/>
          <w:szCs w:val="20"/>
          <w:lang w:val="en-US"/>
        </w:rPr>
        <w:t>USDA National Organic Program (NOP): Verifying organic claims, ingredient sources, and certification seals.</w:t>
      </w:r>
    </w:p>
    <w:p>
      <w:pPr>
        <w:numPr>
          <w:ilvl w:val="0"/>
          <w:numId w:val="1"/>
        </w:numPr>
        <w:rPr>
          <w:rFonts w:ascii="Segoe UI" w:cs="Segoe UI" w:hAnsi="Segoe UI"/>
          <w:sz w:val="20"/>
          <w:szCs w:val="20"/>
          <w:lang w:val="en-US"/>
        </w:rPr>
      </w:pPr>
      <w:r>
        <w:rPr>
          <w:rFonts w:ascii="Segoe UI" w:cs="Segoe UI" w:hAnsi="Segoe UI"/>
          <w:sz w:val="20"/>
          <w:szCs w:val="20"/>
          <w:lang w:val="en-US"/>
        </w:rPr>
        <w:t>EPA (Environmental Protection Agency): Ensuring compliance for microbial and bio-based fertilizers classified as plant growth regulators (PGRs).</w:t>
      </w:r>
    </w:p>
    <w:p>
      <w:pPr>
        <w:numPr>
          <w:ilvl w:val="0"/>
          <w:numId w:val="1"/>
        </w:numPr>
        <w:rPr>
          <w:rFonts w:ascii="Segoe UI" w:cs="Segoe UI" w:hAnsi="Segoe UI"/>
          <w:sz w:val="20"/>
          <w:szCs w:val="20"/>
          <w:lang w:val="en-US"/>
        </w:rPr>
      </w:pPr>
      <w:r>
        <w:rPr>
          <w:rFonts w:ascii="Segoe UI" w:cs="Segoe UI" w:hAnsi="Segoe UI"/>
          <w:sz w:val="20"/>
          <w:szCs w:val="20"/>
          <w:lang w:val="en-US"/>
        </w:rPr>
        <w:t>FDA (Food &amp; Feed Safety Regulations): Reviewing ingredients and safety instructions for any animal feed-use applications.</w:t>
      </w:r>
    </w:p>
    <w:p>
      <w:pPr>
        <w:numPr>
          <w:ilvl w:val="0"/>
          <w:numId w:val="1"/>
        </w:numPr>
        <w:rPr>
          <w:rFonts w:ascii="Segoe UI" w:cs="Segoe UI" w:hAnsi="Segoe UI"/>
          <w:sz w:val="20"/>
          <w:szCs w:val="20"/>
          <w:lang w:val="en-US"/>
        </w:rPr>
      </w:pPr>
      <w:r>
        <w:rPr>
          <w:rFonts w:ascii="Segoe UI" w:cs="Segoe UI" w:hAnsi="Segoe UI"/>
          <w:sz w:val="20"/>
          <w:szCs w:val="20"/>
          <w:lang w:val="en-US"/>
        </w:rPr>
        <w:t>OMRI (Organic Materials Review Institute): Checking for proper formatting and claim accuracy in organic product listings.</w:t>
      </w:r>
    </w:p>
    <w:p>
      <w:pPr>
        <w:numPr>
          <w:ilvl w:val="0"/>
          <w:numId w:val="1"/>
        </w:numPr>
        <w:rPr>
          <w:rFonts w:ascii="Segoe UI" w:cs="Segoe UI" w:hAnsi="Segoe UI"/>
          <w:sz w:val="20"/>
          <w:szCs w:val="20"/>
          <w:lang w:val="en-US"/>
        </w:rPr>
      </w:pPr>
      <w:r>
        <w:rPr>
          <w:rFonts w:ascii="Segoe UI" w:cs="Segoe UI" w:hAnsi="Segoe UI"/>
          <w:sz w:val="20"/>
          <w:szCs w:val="20"/>
          <w:lang w:val="en-US"/>
        </w:rPr>
        <w:t>International Standards (EU, Canada, Latin America, etc.): Ensuring compatibility with export markets by following their respective labeling laws.</w:t>
      </w:r>
    </w:p>
    <w:p>
      <w:pPr>
        <w:rPr>
          <w:rFonts w:ascii="Segoe UI" w:cs="Segoe UI" w:hAnsi="Segoe UI"/>
          <w:i/>
          <w:iCs/>
          <w:sz w:val="20"/>
          <w:szCs w:val="20"/>
          <w:lang w:val="en-US"/>
        </w:rPr>
      </w:pPr>
      <w:r>
        <w:rPr>
          <w:rFonts w:ascii="Segoe UI" w:cs="Segoe UI" w:hAnsi="Segoe UI"/>
          <w:i/>
          <w:iCs/>
          <w:sz w:val="20"/>
          <w:szCs w:val="20"/>
          <w:lang w:val="en-US"/>
        </w:rPr>
        <w:t>For example, an organic se</w:t>
      </w:r>
      <w:r>
        <w:rPr>
          <w:rFonts w:ascii="Segoe UI" w:cs="Segoe UI" w:hAnsi="Segoe UI"/>
          <w:i/>
          <w:iCs/>
          <w:sz w:val="20"/>
          <w:szCs w:val="20"/>
          <w:lang w:val="en-US"/>
        </w:rPr>
        <w:t>aweed extract fertilizer label must clearly specify whether it is certified organic, list approved ingredients, and avoid making unverified performance claims.</w:t>
      </w:r>
    </w:p>
    <w:p>
      <w:pPr>
        <w:rPr>
          <w:rFonts w:ascii="Segoe UI" w:cs="Segoe UI" w:hAnsi="Segoe UI"/>
          <w:sz w:val="20"/>
          <w:szCs w:val="20"/>
          <w:lang w:val="en-US"/>
        </w:rPr>
      </w:pPr>
      <w:r>
        <w:rPr>
          <w:rFonts w:ascii="Segoe UI" w:cs="Segoe UI" w:hAnsi="Segoe UI"/>
          <w:b/>
          <w:bCs/>
          <w:sz w:val="20"/>
          <w:szCs w:val="20"/>
          <w:lang w:val="en-US"/>
        </w:rPr>
        <w:t>2. Ingredient List &amp; Composition Verification</w:t>
      </w:r>
    </w:p>
    <w:p>
      <w:pPr>
        <w:rPr>
          <w:rFonts w:ascii="Segoe UI" w:cs="Segoe UI" w:hAnsi="Segoe UI"/>
          <w:sz w:val="20"/>
          <w:szCs w:val="20"/>
          <w:lang w:val="en-US"/>
        </w:rPr>
      </w:pPr>
      <w:r>
        <w:rPr>
          <w:rFonts w:ascii="Segoe UI" w:cs="Segoe UI" w:hAnsi="Segoe UI"/>
          <w:sz w:val="20"/>
          <w:szCs w:val="20"/>
          <w:lang w:val="en-US"/>
        </w:rPr>
        <w:t>We carefully review the product’s ingredient list, concentration details, and formulation transparency to ensure compliance with labeling regulations. This includes:</w:t>
      </w:r>
    </w:p>
    <w:p>
      <w:pPr>
        <w:numPr>
          <w:ilvl w:val="0"/>
          <w:numId w:val="2"/>
        </w:numPr>
        <w:rPr>
          <w:rFonts w:ascii="Segoe UI" w:cs="Segoe UI" w:hAnsi="Segoe UI"/>
          <w:sz w:val="20"/>
          <w:szCs w:val="20"/>
          <w:lang w:val="en-US"/>
        </w:rPr>
      </w:pPr>
      <w:r>
        <w:rPr>
          <w:rFonts w:ascii="Segoe UI" w:cs="Segoe UI" w:hAnsi="Segoe UI"/>
          <w:sz w:val="20"/>
          <w:szCs w:val="20"/>
          <w:lang w:val="en-US"/>
        </w:rPr>
        <w:t>Scientific Accuracy: Ensuring that active and inactive ingredients are correctly named and quantified.</w:t>
      </w:r>
    </w:p>
    <w:p>
      <w:pPr>
        <w:numPr>
          <w:ilvl w:val="0"/>
          <w:numId w:val="2"/>
        </w:numPr>
        <w:rPr>
          <w:rFonts w:ascii="Segoe UI" w:cs="Segoe UI" w:hAnsi="Segoe UI"/>
          <w:sz w:val="20"/>
          <w:szCs w:val="20"/>
          <w:lang w:val="en-US"/>
        </w:rPr>
      </w:pPr>
      <w:r>
        <w:rPr>
          <w:rFonts w:ascii="Segoe UI" w:cs="Segoe UI" w:hAnsi="Segoe UI"/>
          <w:sz w:val="20"/>
          <w:szCs w:val="20"/>
          <w:lang w:val="en-US"/>
        </w:rPr>
        <w:t>Legally Approved Additives: Verifying that all components comply with organic and agricultural safety standards.</w:t>
      </w:r>
    </w:p>
    <w:p>
      <w:pPr>
        <w:numPr>
          <w:ilvl w:val="0"/>
          <w:numId w:val="2"/>
        </w:numPr>
        <w:rPr>
          <w:rFonts w:ascii="Segoe UI" w:cs="Segoe UI" w:hAnsi="Segoe UI"/>
          <w:sz w:val="20"/>
          <w:szCs w:val="20"/>
          <w:lang w:val="en-US"/>
        </w:rPr>
      </w:pPr>
      <w:r>
        <w:rPr>
          <w:rFonts w:ascii="Segoe UI" w:cs="Segoe UI" w:hAnsi="Segoe UI"/>
          <w:sz w:val="20"/>
          <w:szCs w:val="20"/>
          <w:lang w:val="en-US"/>
        </w:rPr>
        <w:t>Potential Contaminants &amp; Restricted Substances: Identifying any components that could trigger regulatory issues or require additional approvals.</w:t>
      </w:r>
    </w:p>
    <w:p>
      <w:pPr>
        <w:rPr>
          <w:rFonts w:ascii="Segoe UI" w:cs="Segoe UI" w:hAnsi="Segoe UI"/>
          <w:i/>
          <w:iCs/>
          <w:sz w:val="20"/>
          <w:szCs w:val="20"/>
          <w:lang w:val="en-US"/>
        </w:rPr>
      </w:pPr>
      <w:r>
        <w:rPr>
          <w:rFonts w:ascii="Segoe UI" w:cs="Segoe UI" w:hAnsi="Segoe UI"/>
          <w:i/>
          <w:iCs/>
          <w:sz w:val="20"/>
          <w:szCs w:val="20"/>
          <w:lang w:val="en-US"/>
        </w:rPr>
        <w:t>For instance, a humic acid fertilizer label must accurately declare the source of humic substances and their concentration levels to meet industry standards.</w:t>
      </w:r>
    </w:p>
    <w:p>
      <w:pPr>
        <w:rPr>
          <w:rFonts w:ascii="Segoe UI" w:cs="Segoe UI" w:hAnsi="Segoe UI"/>
          <w:b/>
          <w:bCs/>
          <w:sz w:val="20"/>
          <w:szCs w:val="20"/>
          <w:lang w:val="en-US"/>
        </w:rPr>
      </w:pPr>
      <w:r>
        <w:rPr>
          <w:rFonts w:ascii="Segoe UI" w:cs="Segoe UI" w:hAnsi="Segoe UI"/>
          <w:b/>
          <w:bCs/>
          <w:sz w:val="20"/>
          <w:szCs w:val="20"/>
          <w:lang w:val="en-US"/>
        </w:rPr>
        <w:t>3. Review of Product Claims &amp; Marketing Language</w:t>
      </w:r>
    </w:p>
    <w:p>
      <w:pPr>
        <w:rPr>
          <w:rFonts w:ascii="Segoe UI" w:cs="Segoe UI" w:hAnsi="Segoe UI"/>
          <w:sz w:val="20"/>
          <w:szCs w:val="20"/>
          <w:lang w:val="en-US"/>
        </w:rPr>
      </w:pPr>
      <w:r>
        <w:rPr>
          <w:rFonts w:ascii="Segoe UI" w:cs="Segoe UI" w:hAnsi="Segoe UI"/>
          <w:sz w:val="20"/>
          <w:szCs w:val="20"/>
          <w:lang w:val="en-US"/>
        </w:rPr>
        <w:t>We help businesses avoid misleading claims or unsubstantiated marketing language, which can lead to regulatory penalties or loss of consumer trust. We ensure that:</w:t>
      </w:r>
    </w:p>
    <w:p>
      <w:pPr>
        <w:numPr>
          <w:ilvl w:val="0"/>
          <w:numId w:val="3"/>
        </w:numPr>
        <w:rPr>
          <w:rFonts w:ascii="Segoe UI" w:cs="Segoe UI" w:hAnsi="Segoe UI"/>
          <w:sz w:val="20"/>
          <w:szCs w:val="20"/>
          <w:lang w:val="en-US"/>
        </w:rPr>
      </w:pPr>
      <w:r>
        <w:rPr>
          <w:rFonts w:ascii="Segoe UI" w:cs="Segoe UI" w:hAnsi="Segoe UI"/>
          <w:sz w:val="20"/>
          <w:szCs w:val="20"/>
          <w:lang w:val="en-US"/>
        </w:rPr>
        <w:t>Efficacy Claims are Scientifically Justified: Any claim about improving crop yield, soil health, or plant resistance must be backed by field trials or peer-reviewed research.</w:t>
      </w:r>
    </w:p>
    <w:p>
      <w:pPr>
        <w:numPr>
          <w:ilvl w:val="0"/>
          <w:numId w:val="3"/>
        </w:numPr>
        <w:rPr>
          <w:rFonts w:ascii="Segoe UI" w:cs="Segoe UI" w:hAnsi="Segoe UI"/>
          <w:sz w:val="20"/>
          <w:szCs w:val="20"/>
          <w:lang w:val="en-US"/>
        </w:rPr>
      </w:pPr>
      <w:r>
        <w:rPr>
          <w:rFonts w:ascii="Segoe UI" w:cs="Segoe UI" w:hAnsi="Segoe UI"/>
          <w:sz w:val="20"/>
          <w:szCs w:val="20"/>
          <w:lang w:val="en-US"/>
        </w:rPr>
        <w:t>Prohibited Terms are Avoided: Certain words, like “pesticide” or “guaranteed to increase yields by 50%,” may trigger additional regulatory scrutiny.</w:t>
      </w:r>
    </w:p>
    <w:p>
      <w:pPr>
        <w:numPr>
          <w:ilvl w:val="0"/>
          <w:numId w:val="3"/>
        </w:numPr>
        <w:rPr>
          <w:rFonts w:ascii="Segoe UI" w:cs="Segoe UI" w:hAnsi="Segoe UI"/>
          <w:sz w:val="20"/>
          <w:szCs w:val="20"/>
          <w:lang w:val="en-US"/>
        </w:rPr>
      </w:pPr>
      <w:r>
        <w:rPr>
          <w:rFonts w:ascii="Segoe UI" w:cs="Segoe UI" w:hAnsi="Segoe UI"/>
          <w:sz w:val="20"/>
          <w:szCs w:val="20"/>
          <w:lang w:val="en-US"/>
        </w:rPr>
        <w:t>Certifications are Properly Displayed: OMRI, USDA Organic, and ISO certifications must be correctly formatted and verifiable.</w:t>
      </w:r>
    </w:p>
    <w:p>
      <w:pPr>
        <w:rPr>
          <w:rFonts w:ascii="Segoe UI" w:cs="Segoe UI" w:hAnsi="Segoe UI"/>
          <w:i/>
          <w:iCs/>
          <w:sz w:val="20"/>
          <w:szCs w:val="20"/>
          <w:lang w:val="en-US"/>
        </w:rPr>
      </w:pPr>
      <w:r>
        <w:rPr>
          <w:rFonts w:ascii="Segoe UI" w:cs="Segoe UI" w:hAnsi="Segoe UI"/>
          <w:i/>
          <w:iCs/>
          <w:sz w:val="20"/>
          <w:szCs w:val="20"/>
          <w:lang w:val="en-US"/>
        </w:rPr>
        <w:t>For example, a biostimulant label stating it "boosts plant immunity and eliminates disease" may require revision since disease-control claims typically fall under EPA pesticide regulations.</w:t>
      </w:r>
    </w:p>
    <w:p>
      <w:pPr>
        <w:rPr>
          <w:rFonts w:ascii="Segoe UI" w:cs="Segoe UI" w:hAnsi="Segoe UI"/>
          <w:b/>
          <w:bCs/>
          <w:sz w:val="20"/>
          <w:szCs w:val="20"/>
          <w:lang w:val="en-US"/>
        </w:rPr>
      </w:pPr>
      <w:r>
        <w:rPr>
          <w:rFonts w:ascii="Segoe UI" w:cs="Segoe UI" w:hAnsi="Segoe UI"/>
          <w:b/>
          <w:bCs/>
          <w:sz w:val="20"/>
          <w:szCs w:val="20"/>
          <w:lang w:val="en-US"/>
        </w:rPr>
        <w:t>4. Safety &amp; Handling Instructions Review</w:t>
      </w:r>
    </w:p>
    <w:p>
      <w:pPr>
        <w:rPr>
          <w:rFonts w:ascii="Segoe UI" w:cs="Segoe UI" w:hAnsi="Segoe UI"/>
          <w:sz w:val="20"/>
          <w:szCs w:val="20"/>
          <w:lang w:val="en-US"/>
        </w:rPr>
      </w:pPr>
      <w:r>
        <w:rPr>
          <w:rFonts w:ascii="Segoe UI" w:cs="Segoe UI" w:hAnsi="Segoe UI"/>
          <w:sz w:val="20"/>
          <w:szCs w:val="20"/>
          <w:lang w:val="en-US"/>
        </w:rPr>
        <w:t>To protect users and ensure legal compliance, we verify that all safety-related information is properly documented, including:</w:t>
      </w:r>
    </w:p>
    <w:p>
      <w:pPr>
        <w:numPr>
          <w:ilvl w:val="0"/>
          <w:numId w:val="4"/>
        </w:numPr>
        <w:rPr>
          <w:rFonts w:ascii="Segoe UI" w:cs="Segoe UI" w:hAnsi="Segoe UI"/>
          <w:sz w:val="20"/>
          <w:szCs w:val="20"/>
          <w:lang w:val="en-US"/>
        </w:rPr>
      </w:pPr>
      <w:r>
        <w:rPr>
          <w:rFonts w:ascii="Segoe UI" w:cs="Segoe UI" w:hAnsi="Segoe UI"/>
          <w:sz w:val="20"/>
          <w:szCs w:val="20"/>
          <w:lang w:val="en-US"/>
        </w:rPr>
        <w:t>Storage &amp; Handling Instructions: Guidelines for proper temperature, humidity, and container sealing.</w:t>
      </w:r>
    </w:p>
    <w:p>
      <w:pPr>
        <w:numPr>
          <w:ilvl w:val="0"/>
          <w:numId w:val="4"/>
        </w:numPr>
        <w:rPr>
          <w:rFonts w:ascii="Segoe UI" w:cs="Segoe UI" w:hAnsi="Segoe UI"/>
          <w:sz w:val="20"/>
          <w:szCs w:val="20"/>
          <w:lang w:val="en-US"/>
        </w:rPr>
      </w:pPr>
      <w:r>
        <w:rPr>
          <w:rFonts w:ascii="Segoe UI" w:cs="Segoe UI" w:hAnsi="Segoe UI"/>
          <w:sz w:val="20"/>
          <w:szCs w:val="20"/>
          <w:lang w:val="en-US"/>
        </w:rPr>
        <w:t>Personal Protective Equipment (PPE) Recommendations: Safety gear required for application.</w:t>
      </w:r>
    </w:p>
    <w:p>
      <w:pPr>
        <w:numPr>
          <w:ilvl w:val="0"/>
          <w:numId w:val="4"/>
        </w:numPr>
        <w:rPr>
          <w:rFonts w:ascii="Segoe UI" w:cs="Segoe UI" w:hAnsi="Segoe UI"/>
          <w:sz w:val="20"/>
          <w:szCs w:val="20"/>
          <w:lang w:val="en-US"/>
        </w:rPr>
      </w:pPr>
      <w:r>
        <w:rPr>
          <w:rFonts w:ascii="Segoe UI" w:cs="Segoe UI" w:hAnsi="Segoe UI"/>
          <w:sz w:val="20"/>
          <w:szCs w:val="20"/>
          <w:lang w:val="en-US"/>
        </w:rPr>
        <w:t>First Aid &amp; Emergency Measures: Instructions for accidental ingestion, inhalation, or skin contact.</w:t>
      </w:r>
    </w:p>
    <w:p>
      <w:pPr>
        <w:numPr>
          <w:ilvl w:val="0"/>
          <w:numId w:val="4"/>
        </w:numPr>
        <w:rPr>
          <w:rFonts w:ascii="Segoe UI" w:cs="Segoe UI" w:hAnsi="Segoe UI"/>
          <w:sz w:val="20"/>
          <w:szCs w:val="20"/>
          <w:lang w:val="en-US"/>
        </w:rPr>
      </w:pPr>
      <w:r>
        <w:rPr>
          <w:rFonts w:ascii="Segoe UI" w:cs="Segoe UI" w:hAnsi="Segoe UI"/>
          <w:sz w:val="20"/>
          <w:szCs w:val="20"/>
          <w:lang w:val="en-US"/>
        </w:rPr>
        <w:t>Disposal Guidelines: Compliance with environmental safety regulations for waste management.</w:t>
      </w:r>
    </w:p>
    <w:p>
      <w:pPr>
        <w:rPr>
          <w:rFonts w:ascii="Segoe UI" w:cs="Segoe UI" w:hAnsi="Segoe UI"/>
          <w:i/>
          <w:iCs/>
          <w:sz w:val="20"/>
          <w:szCs w:val="20"/>
          <w:lang w:val="en-US"/>
        </w:rPr>
      </w:pPr>
      <w:r>
        <w:rPr>
          <w:rFonts w:ascii="Segoe UI" w:cs="Segoe UI" w:hAnsi="Segoe UI"/>
          <w:i/>
          <w:iCs/>
          <w:sz w:val="20"/>
          <w:szCs w:val="20"/>
          <w:lang w:val="en-US"/>
        </w:rPr>
        <w:t>For instance, a microbial-based soil amendment may require a warning about proper storage to prevent bacterial degradation and maintain efficacy.</w:t>
      </w:r>
    </w:p>
    <w:p>
      <w:pPr>
        <w:rPr>
          <w:rFonts w:ascii="Segoe UI" w:cs="Segoe UI" w:hAnsi="Segoe UI"/>
          <w:b/>
          <w:bCs/>
          <w:sz w:val="20"/>
          <w:szCs w:val="20"/>
          <w:lang w:val="en-US"/>
        </w:rPr>
      </w:pPr>
      <w:r>
        <w:rPr>
          <w:rFonts w:ascii="Segoe UI" w:cs="Segoe UI" w:hAnsi="Segoe UI"/>
          <w:b/>
          <w:bCs/>
          <w:sz w:val="20"/>
          <w:szCs w:val="20"/>
          <w:lang w:val="en-US"/>
        </w:rPr>
        <w:t>5. Certification &amp; Registration Documentation Preparation</w:t>
      </w:r>
    </w:p>
    <w:p>
      <w:pPr>
        <w:rPr>
          <w:rFonts w:ascii="Segoe UI" w:cs="Segoe UI" w:hAnsi="Segoe UI"/>
          <w:sz w:val="20"/>
          <w:szCs w:val="20"/>
          <w:lang w:val="en-US"/>
        </w:rPr>
      </w:pPr>
      <w:r>
        <w:rPr>
          <w:rFonts w:ascii="Segoe UI" w:cs="Segoe UI" w:hAnsi="Segoe UI"/>
          <w:sz w:val="20"/>
          <w:szCs w:val="20"/>
          <w:lang w:val="en-US"/>
        </w:rPr>
        <w:t>We assist in preparing technical documentation needed for product approvals and market entry, including:</w:t>
      </w:r>
    </w:p>
    <w:p>
      <w:pPr>
        <w:numPr>
          <w:ilvl w:val="0"/>
          <w:numId w:val="5"/>
        </w:numPr>
        <w:rPr>
          <w:rFonts w:ascii="Segoe UI" w:cs="Segoe UI" w:hAnsi="Segoe UI"/>
          <w:sz w:val="20"/>
          <w:szCs w:val="20"/>
          <w:lang w:val="en-US"/>
        </w:rPr>
      </w:pPr>
      <w:r>
        <w:rPr>
          <w:rFonts w:ascii="Segoe UI" w:cs="Segoe UI" w:hAnsi="Segoe UI"/>
          <w:sz w:val="20"/>
          <w:szCs w:val="20"/>
          <w:lang w:val="en-US"/>
        </w:rPr>
        <w:t>Material Safety Data Sheets (MSDS): Required for worker safety and shipping compliance.</w:t>
      </w:r>
    </w:p>
    <w:p>
      <w:pPr>
        <w:numPr>
          <w:ilvl w:val="0"/>
          <w:numId w:val="5"/>
        </w:numPr>
        <w:rPr>
          <w:rFonts w:ascii="Segoe UI" w:cs="Segoe UI" w:hAnsi="Segoe UI"/>
          <w:sz w:val="20"/>
          <w:szCs w:val="20"/>
          <w:lang w:val="en-US"/>
        </w:rPr>
      </w:pPr>
      <w:r>
        <w:rPr>
          <w:rFonts w:ascii="Segoe UI" w:cs="Segoe UI" w:hAnsi="Segoe UI"/>
          <w:sz w:val="20"/>
          <w:szCs w:val="20"/>
          <w:lang w:val="en-US"/>
        </w:rPr>
        <w:t>Certificate of Analysis (CoA): Validates product purity, composition, and microbial content.</w:t>
      </w:r>
    </w:p>
    <w:p>
      <w:pPr>
        <w:numPr>
          <w:ilvl w:val="0"/>
          <w:numId w:val="5"/>
        </w:numPr>
        <w:rPr>
          <w:rFonts w:ascii="Segoe UI" w:cs="Segoe UI" w:hAnsi="Segoe UI"/>
          <w:sz w:val="20"/>
          <w:szCs w:val="20"/>
          <w:lang w:val="en-US"/>
        </w:rPr>
      </w:pPr>
      <w:r>
        <w:rPr>
          <w:rFonts w:ascii="Segoe UI" w:cs="Segoe UI" w:hAnsi="Segoe UI"/>
          <w:sz w:val="20"/>
          <w:szCs w:val="20"/>
          <w:lang w:val="en-US"/>
        </w:rPr>
        <w:t>Regulatory Registration Files: Ensures products meet state, federal, and international approval requirements.</w:t>
      </w:r>
    </w:p>
    <w:p>
      <w:pPr>
        <w:numPr>
          <w:ilvl w:val="0"/>
          <w:numId w:val="5"/>
        </w:numPr>
        <w:rPr>
          <w:rFonts w:ascii="Segoe UI" w:cs="Segoe UI" w:hAnsi="Segoe UI"/>
          <w:sz w:val="20"/>
          <w:szCs w:val="20"/>
          <w:lang w:val="en-US"/>
        </w:rPr>
      </w:pPr>
      <w:r>
        <w:rPr>
          <w:rFonts w:ascii="Segoe UI" w:cs="Segoe UI" w:hAnsi="Segoe UI"/>
          <w:sz w:val="20"/>
          <w:szCs w:val="20"/>
          <w:lang w:val="en-US"/>
        </w:rPr>
        <w:t>Export Documentation: Supports companies expanding into foreign markets by meeting destination country regulations.</w:t>
      </w:r>
    </w:p>
    <w:p>
      <w:pPr>
        <w:rPr>
          <w:rFonts w:ascii="Segoe UI" w:cs="Segoe UI" w:hAnsi="Segoe UI"/>
          <w:i/>
          <w:iCs/>
          <w:sz w:val="20"/>
          <w:szCs w:val="20"/>
          <w:lang w:val="en-US"/>
        </w:rPr>
      </w:pPr>
      <w:r>
        <w:rPr>
          <w:rFonts w:ascii="Segoe UI" w:cs="Segoe UI" w:hAnsi="Segoe UI"/>
          <w:i/>
          <w:iCs/>
          <w:sz w:val="20"/>
          <w:szCs w:val="20"/>
          <w:lang w:val="en-US"/>
        </w:rPr>
        <w:t>For example, a biofertilizer containing mycorrhizal fungi may need an EPA registration dossier, including scientific efficacy studies and environmental safety assessments.</w:t>
      </w:r>
    </w:p>
    <w:p>
      <w:pPr>
        <w:rPr>
          <w:rFonts w:ascii="Segoe UI" w:cs="Segoe UI" w:hAnsi="Segoe UI"/>
          <w:b/>
          <w:bCs/>
          <w:sz w:val="20"/>
          <w:szCs w:val="20"/>
          <w:lang w:val="en-US"/>
        </w:rPr>
      </w:pPr>
      <w:r>
        <w:rPr>
          <w:rFonts w:ascii="Segoe UI" w:cs="Segoe UI" w:hAnsi="Segoe UI"/>
          <w:b/>
          <w:bCs/>
          <w:sz w:val="20"/>
          <w:szCs w:val="20"/>
          <w:lang w:val="en-US"/>
        </w:rPr>
        <w:t>How This Service Benefits Businesses</w:t>
      </w:r>
    </w:p>
    <w:p>
      <w:pPr>
        <w:rPr>
          <w:rFonts w:ascii="Segoe UI" w:cs="Segoe UI" w:hAnsi="Segoe UI"/>
          <w:sz w:val="20"/>
          <w:szCs w:val="20"/>
        </w:rPr>
      </w:pPr>
      <w:r>
        <w:rPr>
          <w:rFonts w:ascii="Segoe UI" w:cs="Segoe UI" w:hAnsi="Segoe UI"/>
          <w:sz w:val="20"/>
          <w:szCs w:val="20"/>
        </w:rPr>
        <w:t>✔ Ensures Market Readiness: Products meet all legal and regulatory requirements, preventing costly re-labeling or import issues.</w:t>
      </w:r>
    </w:p>
    <w:p>
      <w:pPr>
        <w:rPr>
          <w:rFonts w:ascii="Segoe UI" w:cs="Segoe UI" w:hAnsi="Segoe UI"/>
          <w:sz w:val="20"/>
          <w:szCs w:val="20"/>
        </w:rPr>
      </w:pPr>
      <w:r>
        <w:rPr>
          <w:rFonts w:ascii="Segoe UI" w:cs="Segoe UI" w:hAnsi="Segoe UI"/>
          <w:sz w:val="20"/>
          <w:szCs w:val="20"/>
        </w:rPr>
        <w:t>✔ Reduces Compliance Risks: Avoids penalties, shipment delays, or recalls due to improper labeling.</w:t>
      </w:r>
    </w:p>
    <w:p>
      <w:pPr>
        <w:rPr>
          <w:rFonts w:ascii="Segoe UI" w:cs="Segoe UI" w:hAnsi="Segoe UI"/>
          <w:sz w:val="20"/>
          <w:szCs w:val="20"/>
        </w:rPr>
      </w:pPr>
      <w:r>
        <w:rPr>
          <w:rFonts w:ascii="Segoe UI" w:cs="Segoe UI" w:hAnsi="Segoe UI"/>
          <w:sz w:val="20"/>
          <w:szCs w:val="20"/>
        </w:rPr>
        <w:t>✔ Enhances Credibility &amp; Trust: Transparent, well-documented labeling builds consumer confidence and supports certification approvals.</w:t>
      </w:r>
    </w:p>
    <w:p>
      <w:pPr>
        <w:rPr>
          <w:rFonts w:ascii="Segoe UI" w:cs="Segoe UI" w:hAnsi="Segoe UI"/>
          <w:sz w:val="20"/>
          <w:szCs w:val="20"/>
        </w:rPr>
      </w:pPr>
      <w:r>
        <w:rPr>
          <w:rFonts w:ascii="Segoe UI" w:cs="Segoe UI" w:hAnsi="Segoe UI"/>
          <w:sz w:val="20"/>
          <w:szCs w:val="20"/>
        </w:rPr>
        <w:t>✔ Facilitates International Expansion: Labels and documentation meet multi-market regulatory expectations, simplifying global distribution.</w:t>
      </w:r>
    </w:p>
    <w:p>
      <w:pPr>
        <w:rPr>
          <w:rFonts w:ascii="Segoe UI" w:cs="Segoe UI" w:hAnsi="Segoe UI"/>
          <w:sz w:val="20"/>
          <w:szCs w:val="20"/>
        </w:rPr>
      </w:pPr>
      <w:r>
        <w:rPr>
          <w:rFonts w:ascii="Segoe UI" w:cs="Segoe UI" w:hAnsi="Segoe UI"/>
          <w:sz w:val="20"/>
          <w:szCs w:val="20"/>
        </w:rPr>
        <w:t>✔ Speeds Up Certification Approvals: Well-prepared technical documents make it easier to obtain USDA, OMRI, and international organic certifications.</w:t>
      </w:r>
    </w:p>
    <w:p>
      <w:pPr>
        <w:rPr>
          <w:rFonts w:ascii="Segoe UI" w:cs="Segoe UI" w:hAnsi="Segoe UI"/>
          <w:sz w:val="20"/>
          <w:szCs w:val="20"/>
          <w:lang w:val="en-US"/>
        </w:rPr>
      </w:pPr>
      <w:r>
        <w:rPr>
          <w:rFonts w:ascii="Segoe UI" w:cs="Segoe UI" w:hAnsi="Segoe UI"/>
          <w:sz w:val="20"/>
          <w:szCs w:val="20"/>
          <w:lang w:val="en-US"/>
        </w:rPr>
        <w:t>By leveraging our Labeling &amp; Documentation Review service, businesses can ensure regulatory compliance, accurate product representation, and smooth market entry, setting them up for success in the organic agriculture sector.</w:t>
      </w:r>
    </w:p>
    <w:p>
      <w:pPr>
        <w:rPr>
          <w:rFonts w:ascii="Segoe UI" w:cs="Segoe UI" w:hAnsi="Segoe UI"/>
          <w:sz w:val="20"/>
          <w:szCs w:val="20"/>
        </w:rPr>
      </w:pPr>
    </w:p>
    <w:p>
      <w:pPr>
        <w:rPr>
          <w:rFonts w:ascii="Segoe UI" w:cs="Segoe UI" w:hAnsi="Segoe UI"/>
          <w:sz w:val="20"/>
          <w:szCs w:val="20"/>
        </w:rPr>
      </w:pPr>
    </w:p>
    <w:p>
      <w:pPr>
        <w:rPr>
          <w:rFonts w:ascii="Segoe UI" w:cs="Segoe UI" w:hAnsi="Segoe UI"/>
          <w:sz w:val="20"/>
          <w:szCs w:val="20"/>
        </w:rPr>
      </w:pPr>
    </w:p>
    <w:p>
      <w:pPr>
        <w:rPr>
          <w:rFonts w:ascii="Segoe UI" w:cs="Segoe UI" w:hAnsi="Segoe UI"/>
          <w:sz w:val="20"/>
          <w:szCs w:val="20"/>
        </w:rPr>
      </w:pPr>
    </w:p>
    <w:p>
      <w:pPr>
        <w:rPr>
          <w:rFonts w:ascii="Segoe UI" w:cs="Segoe UI" w:hAnsi="Segoe UI"/>
          <w:sz w:val="20"/>
          <w:szCs w:val="20"/>
        </w:rPr>
      </w:pPr>
    </w:p>
    <w:p>
      <w:pPr>
        <w:rPr>
          <w:rFonts w:ascii="Segoe UI" w:cs="Segoe UI" w:hAnsi="Segoe UI"/>
          <w:sz w:val="20"/>
          <w:szCs w:val="20"/>
        </w:rPr>
      </w:pPr>
    </w:p>
    <w:p>
      <w:pPr>
        <w:rPr>
          <w:rFonts w:ascii="Segoe UI" w:cs="Segoe UI" w:hAnsi="Segoe UI"/>
          <w:sz w:val="20"/>
          <w:szCs w:val="20"/>
        </w:rPr>
      </w:pPr>
    </w:p>
    <w:p>
      <w:pPr>
        <w:rPr>
          <w:rFonts w:ascii="Segoe UI" w:cs="Segoe UI" w:hAnsi="Segoe UI"/>
          <w:sz w:val="20"/>
          <w:szCs w:val="20"/>
        </w:rPr>
      </w:pPr>
    </w:p>
    <w:sectPr>
      <w:footnotePr/>
      <w:footnotePr/>
      <w:type w:val="nextPage"/>
      <w:pgSz w:w="11906" w:h="16838" w:orient="portrait"/>
      <w:pgMar w:top="720" w:right="720" w:bottom="72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Segoe U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2">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3">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4">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trackRevisions w:val="off"/>
  <w:compat>
    <w:compatSetting w:name="compatibilityMode" w:uri="http://schemas.microsoft.com/office/word" w:val="14"/>
  </w:compat>
  <w:footnotePr/>
  <w:endnotePr/>
  <w:themeFontLang w:val="en-US"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Novotorov</dc:creator>
  <cp:lastModifiedBy>Andrew Novotorov</cp:lastModifiedBy>
</cp:coreProperties>
</file>