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36"/>
          <w:lang w:val="en-US"/>
        </w:rPr>
      </w:pPr>
      <w:r>
        <w:rPr>
          <w:rFonts w:ascii="Segoe UI"/>
          <w:b/>
          <w:color w:val="000000"/>
          <w:sz w:val="36"/>
          <w:rtl w:val="off"/>
          <w:lang w:val="en-US"/>
        </w:rPr>
        <w:t>Scientific and Technical Expertise: Advancing Agricultural Innovation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36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The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Scientific and Technical Expertise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service ensures that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organic fertilizers, soil amendments, and biostimulants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are developed using the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latest scientific advancements in agronomy, mycology, and biotechnology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. We provide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comprehensive technical support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to manufacturers, distributors, and agricultural businesses, helping them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optimize formulations, enhance product performance, and meet regulatory and industry standards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36"/>
          <w:szCs w:val="36"/>
          <w:lang w:val="en-US"/>
        </w:rPr>
      </w:pPr>
      <w:r>
        <w:rPr>
          <w:rFonts w:ascii="Segoe UI"/>
          <w:b/>
          <w:color w:val="000000"/>
          <w:sz w:val="36"/>
          <w:szCs w:val="36"/>
          <w:rtl w:val="off"/>
          <w:lang w:val="en-US"/>
        </w:rPr>
        <w:t>Key Components of the Scientific and Technical Expertise Service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2"/>
          <w:lang w:val="en-US"/>
        </w:rPr>
      </w:pPr>
      <w:r>
        <w:rPr>
          <w:rFonts w:ascii="Segoe UI"/>
          <w:b/>
          <w:color w:val="000000"/>
          <w:sz w:val="32"/>
          <w:rtl w:val="off"/>
          <w:lang w:val="en-US"/>
        </w:rPr>
        <w:t>1. Formulation and Composition Development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Creating effective organic fertilizers and biostimulants requires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precise formulation and ingredient selection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. We provide expert guidance on: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Optimal nutrient balance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for different crop types, considering soil conditions and plant physiology.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Selection of bioactive compounds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, including humic and fulvic acids, seaweed extracts, amino acids, and microbial inoculants.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Compatibility of ingredients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, ensuring stability and synergistic effects between organic components.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Enhancing bioavailability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, maximizing nutrient uptake and utilization by plants.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i/>
          <w:iCs/>
          <w:color w:val="000000"/>
          <w:sz w:val="20"/>
          <w:szCs w:val="20"/>
          <w:lang w:val="en-US"/>
        </w:rPr>
      </w:pP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For example, a manufacturer developing a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microbial inoculant-based fertilizer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 can receive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guidance on selecting effective bacterial or fungal strains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, such as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Rhizobacteria for nitrogen fixation or Trichoderma for disease suppression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2"/>
          <w:lang w:val="en-US"/>
        </w:rPr>
      </w:pPr>
      <w:r>
        <w:rPr>
          <w:rFonts w:ascii="Segoe UI"/>
          <w:b/>
          <w:color w:val="000000"/>
          <w:sz w:val="32"/>
          <w:rtl w:val="off"/>
          <w:lang w:val="en-US"/>
        </w:rPr>
        <w:t>2. Research &amp; Development (R&amp;D) Support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We assist businesses in conducting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R&amp;D for new and improved products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by: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Identifying innovative ingredients and technologies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to enhance crop yields and soil health.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Designing laboratory and field trials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to validate product efficacy and performance.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Analyzing scientific literature and market trends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to ensure products align with the latest industry advancements.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Developing prototype formulations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and refining product characteristics based on experimental data.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i/>
          <w:iCs/>
          <w:color w:val="000000"/>
          <w:sz w:val="20"/>
          <w:szCs w:val="20"/>
          <w:lang w:val="en-US"/>
        </w:rPr>
      </w:pP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For instance, if a company wants to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introduce a novel seaweed extract biostimulant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, we help assess its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growth-promoting compounds, optimize extraction methods, and test its effects on plant stress resistance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2"/>
          <w:lang w:val="en-US"/>
        </w:rPr>
      </w:pPr>
      <w:r>
        <w:rPr>
          <w:rFonts w:ascii="Segoe UI"/>
          <w:b/>
          <w:color w:val="000000"/>
          <w:sz w:val="32"/>
          <w:rtl w:val="off"/>
          <w:lang w:val="en-US"/>
        </w:rPr>
        <w:t>3. Performance Optimization &amp; Product Enhancement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We provide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technical strategies to enhance product efficiency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by:</w:t>
      </w:r>
    </w:p>
    <w:p>
      <w:pPr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Modifying application rates and methods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for better plant absorption.</w:t>
      </w:r>
    </w:p>
    <w:p>
      <w:pPr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Improving formulation stability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to extend shelf life and maintain potency.</w:t>
      </w:r>
    </w:p>
    <w:p>
      <w:pPr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Enhancing delivery mechanisms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, such as encapsulation for controlled nutrient release.</w:t>
      </w:r>
    </w:p>
    <w:p>
      <w:pPr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Adapting formulations for different soil types, climatic conditions, and crop needs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i/>
          <w:iCs/>
          <w:color w:val="000000"/>
          <w:sz w:val="20"/>
          <w:szCs w:val="20"/>
          <w:lang w:val="en-US"/>
        </w:rPr>
      </w:pP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For example, if a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compost-based organic fertilizer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 has inconsistent results in different soil types, we help optimize its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carbon-to-nitrogen ratio, microbial activity, and decomposition rate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 for better effectiveness.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2"/>
          <w:lang w:val="en-US"/>
        </w:rPr>
      </w:pPr>
      <w:r>
        <w:rPr>
          <w:rFonts w:ascii="Segoe UI"/>
          <w:b/>
          <w:color w:val="000000"/>
          <w:sz w:val="32"/>
          <w:rtl w:val="off"/>
          <w:lang w:val="en-US"/>
        </w:rPr>
        <w:t>4. Scientific Validation &amp; Data Analysis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We support businesses in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validating product claims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through rigorous scientific evaluation:</w:t>
      </w:r>
    </w:p>
    <w:p>
      <w:pPr>
        <w:framePr w:w="0" w:h="0" w:vAnchor="margin" w:hAnchor="text" w:x="0" w:y="0"/>
        <w:numPr>
          <w:ilvl w:val="0"/>
          <w:numId w:val="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Conducting chemical, biological, and physical analysis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of organic inputs.</w:t>
      </w:r>
    </w:p>
    <w:p>
      <w:pPr>
        <w:framePr w:w="0" w:h="0" w:vAnchor="margin" w:hAnchor="text" w:x="0" w:y="0"/>
        <w:numPr>
          <w:ilvl w:val="0"/>
          <w:numId w:val="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Assessing nutrient release rates, microbial viability, and soil improvement potential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.</w:t>
      </w:r>
    </w:p>
    <w:p>
      <w:pPr>
        <w:framePr w:w="0" w:h="0" w:vAnchor="margin" w:hAnchor="text" w:x="0" w:y="0"/>
        <w:numPr>
          <w:ilvl w:val="0"/>
          <w:numId w:val="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Interpreting laboratory and field trial data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to refine product formulations.</w:t>
      </w:r>
    </w:p>
    <w:p>
      <w:pPr>
        <w:framePr w:w="0" w:h="0" w:vAnchor="margin" w:hAnchor="text" w:x="0" w:y="0"/>
        <w:numPr>
          <w:ilvl w:val="0"/>
          <w:numId w:val="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Ensuring compliance with scientific standards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set by regulatory bodies.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i/>
          <w:iCs/>
          <w:color w:val="000000"/>
          <w:sz w:val="20"/>
          <w:szCs w:val="20"/>
          <w:lang w:val="en-US"/>
        </w:rPr>
      </w:pP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For example, if a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biochar soil amendment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 is intended to improve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soil water retention and microbial diversity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, we help design trials to measure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soil moisture levels, microbial populations, and crop response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 over multiple growing seasons.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2"/>
          <w:lang w:val="en-US"/>
        </w:rPr>
      </w:pPr>
      <w:r>
        <w:rPr>
          <w:rFonts w:ascii="Segoe UI"/>
          <w:b/>
          <w:color w:val="000000"/>
          <w:sz w:val="32"/>
          <w:rtl w:val="off"/>
          <w:lang w:val="en-US"/>
        </w:rPr>
        <w:t>5. Compliance with Scientific &amp; Industry Standards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Ensuring products adhere to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scientific best practices and regulatory frameworks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is critical. Our service helps businesses:</w:t>
      </w:r>
    </w:p>
    <w:p>
      <w:pPr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Align product development with USDA Organic, OMRI, and EPA guidelines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.</w:t>
      </w:r>
    </w:p>
    <w:p>
      <w:pPr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Meet international agricultural input certification requirements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(e.g., EU Organic, Canadian Organic Regime).</w:t>
      </w:r>
    </w:p>
    <w:p>
      <w:pPr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Provide technical documentation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to support registration and certification applications.</w:t>
      </w:r>
    </w:p>
    <w:p>
      <w:pPr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Address safety concerns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by ensuring the absence of heavy metals, synthetic additives, or harmful pathogens.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i/>
          <w:iCs/>
          <w:color w:val="000000"/>
          <w:sz w:val="20"/>
          <w:szCs w:val="20"/>
          <w:lang w:val="en-US"/>
        </w:rPr>
      </w:pP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For example, a company developing a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microbial-based foliar biostimulant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 can receive assistance in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demonstrating pathogen-free status, optimizing microbial stability, and obtaining organic certification approval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b/>
          <w:color w:val="000000"/>
          <w:sz w:val="36"/>
          <w:rtl w:val="off"/>
          <w:lang w:val="en-US"/>
        </w:rPr>
        <w:t>How This Service Benefits Businesses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✔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Ensures products meet the latest agricultural scientific advancements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, keeping businesses competitive.</w:t>
      </w:r>
      <w:r>
        <w:rPr>
          <w:rFonts w:ascii="Segoe UI"/>
          <w:color w:val="000000"/>
          <w:sz w:val="20"/>
          <w:szCs w:val="20"/>
          <w:lang w:val="en-US"/>
        </w:rPr>
        <w:br w:type="textWrapping"/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✔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Supports innovation and differentiation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, allowing companies to introduce cutting-edge organic solutions.</w:t>
      </w:r>
      <w:r>
        <w:rPr>
          <w:rFonts w:ascii="Segoe UI"/>
          <w:color w:val="000000"/>
          <w:sz w:val="20"/>
          <w:szCs w:val="20"/>
          <w:lang w:val="en-US"/>
        </w:rPr>
        <w:br w:type="textWrapping"/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✔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Reduces the risk of product failure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, improving performance through research-backed optimization.</w:t>
      </w:r>
      <w:r>
        <w:rPr>
          <w:rFonts w:ascii="Segoe UI"/>
          <w:color w:val="000000"/>
          <w:sz w:val="20"/>
          <w:szCs w:val="20"/>
          <w:lang w:val="en-US"/>
        </w:rPr>
        <w:br w:type="textWrapping"/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✔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Strengthens regulatory compliance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, streamlining approval for organic certification.</w:t>
      </w:r>
      <w:r>
        <w:rPr>
          <w:rFonts w:ascii="Segoe UI"/>
          <w:color w:val="000000"/>
          <w:sz w:val="20"/>
          <w:szCs w:val="20"/>
          <w:lang w:val="en-US"/>
        </w:rPr>
        <w:br w:type="textWrapping"/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✔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Increases credibility and trust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, as scientifically validated products gain wider market acceptance.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szCs w:val="20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By leveraging our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Scientific and Technical Expertise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, businesses can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develop high-performing, market-ready organic fertilizers and biostimulants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that drive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sustainable agricultural growth and profitability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.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lvl w:ilvl="0" w:tentative="1">
        <w:numFmt w:val="bullet"/>
        <w:suff w:val="tab"/>
        <w:lvlText w:val="·"/>
        <w:rPr/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Novotorov</dc:creator>
  <cp:lastModifiedBy>Andrew Novotorov</cp:lastModifiedBy>
</cp:coreProperties>
</file>