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jc w:val="center"/>
        <w:rPr>
          <w:rFonts w:ascii="Segoe UI" w:cs="Segoe UI" w:hAnsi="Segoe UI"/>
          <w:b/>
          <w:bCs/>
          <w:sz w:val="36"/>
          <w:szCs w:val="36"/>
          <w:lang w:val="en-US"/>
        </w:rPr>
      </w:pPr>
      <w:r>
        <w:rPr>
          <w:rFonts w:ascii="Segoe UI" w:cs="Segoe UI" w:hAnsi="Segoe UI"/>
          <w:b/>
          <w:bCs/>
          <w:sz w:val="36"/>
          <w:szCs w:val="36"/>
          <w:lang w:val="en-US"/>
        </w:rPr>
        <w:t>Field Testing &amp; Research: Real-World Validation of Organic Fertilizers &amp; Biostimulants</w:t>
      </w: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Our Field Testing &amp; Research service provides scientifically backed performance validation for organic fertilizers and biostimulants, ensuring that they deliver tangible benefits to crops under real-world agricultural conditions. By conducting rigorous field trials in diverse environmental and soil conditions, we generate credible, data-driven insights that help businesses refine their products, gain regulatory approval, and enhance their market positioning.</w:t>
      </w:r>
    </w:p>
    <w:p>
      <w:pPr>
        <w:jc w:val="center"/>
        <w:rPr>
          <w:rFonts w:ascii="Segoe UI" w:cs="Segoe UI" w:hAnsi="Segoe UI"/>
          <w:sz w:val="32"/>
          <w:szCs w:val="32"/>
          <w:lang w:val="en-US"/>
        </w:rPr>
      </w:pPr>
      <w:r>
        <w:rPr>
          <w:rFonts w:ascii="Segoe UI" w:cs="Segoe UI" w:hAnsi="Segoe UI"/>
          <w:sz w:val="32"/>
          <w:szCs w:val="32"/>
          <w:lang w:val="en-US"/>
        </w:rPr>
        <w:t>Key Aspects of Our Field Testing &amp; Research Service</w:t>
      </w:r>
    </w:p>
    <w:p>
      <w:pPr>
        <w:rPr>
          <w:rFonts w:ascii="Segoe UI" w:cs="Segoe UI" w:hAnsi="Segoe UI"/>
          <w:b/>
          <w:bCs/>
          <w:sz w:val="20"/>
          <w:szCs w:val="20"/>
          <w:lang w:val="en-US"/>
        </w:rPr>
      </w:pPr>
      <w:r>
        <w:rPr>
          <w:rFonts w:ascii="Segoe UI" w:cs="Segoe UI" w:hAnsi="Segoe UI"/>
          <w:b/>
          <w:bCs/>
          <w:sz w:val="20"/>
          <w:szCs w:val="20"/>
          <w:lang w:val="en-US"/>
        </w:rPr>
        <w:t>1. Customized Field Trials Across Various Agricultural Environments</w:t>
      </w: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We design and execute comprehensive field studies tailored to specific soil types, climate conditions, and crop species, ensuring a thorough evaluation of product efficacy under real-world conditions.</w:t>
      </w:r>
    </w:p>
    <w:p>
      <w:pPr>
        <w:numPr>
          <w:ilvl w:val="0"/>
          <w:numId w:val="1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Test Locations: Trials are conducted in diverse locations, including organic farms, research stations, and controlled test plots, replicating different farming environments.</w:t>
      </w:r>
    </w:p>
    <w:p>
      <w:pPr>
        <w:numPr>
          <w:ilvl w:val="0"/>
          <w:numId w:val="1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Crop-Specific Studies: Testing on row crops, vegetables, orchards, vineyards, and specialty crops ensures relevance for various agricultural sectors.</w:t>
      </w:r>
    </w:p>
    <w:p>
      <w:pPr>
        <w:numPr>
          <w:ilvl w:val="0"/>
          <w:numId w:val="1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Soil &amp; Climate Considerations: We evaluate performance under different pH levels, nutrient profiles, moisture conditions, and temperature variations.</w:t>
      </w:r>
    </w:p>
    <w:p>
      <w:pPr>
        <w:rPr>
          <w:rFonts w:ascii="Segoe UI" w:cs="Segoe UI" w:hAnsi="Segoe UI"/>
          <w:i/>
          <w:iCs/>
          <w:sz w:val="20"/>
          <w:szCs w:val="20"/>
          <w:lang w:val="en-US"/>
        </w:rPr>
      </w:pPr>
      <w:r>
        <w:rPr>
          <w:rFonts w:ascii="Segoe UI" w:cs="Segoe UI" w:hAnsi="Segoe UI"/>
          <w:i/>
          <w:iCs/>
          <w:sz w:val="20"/>
          <w:szCs w:val="20"/>
          <w:lang w:val="en-US"/>
        </w:rPr>
        <w:t>For example, a seaweed-based biostimulant may be tested on drought-prone farms to assess its effectiveness in enhancing water retention and root development in arid conditions.</w:t>
      </w:r>
    </w:p>
    <w:p>
      <w:pPr>
        <w:rPr>
          <w:rFonts w:ascii="Segoe UI" w:cs="Segoe UI" w:hAnsi="Segoe UI"/>
          <w:b/>
          <w:bCs/>
          <w:sz w:val="20"/>
          <w:szCs w:val="20"/>
          <w:lang w:val="en-US"/>
        </w:rPr>
      </w:pPr>
      <w:r>
        <w:rPr>
          <w:rFonts w:ascii="Segoe UI" w:cs="Segoe UI" w:hAnsi="Segoe UI"/>
          <w:b/>
          <w:bCs/>
          <w:sz w:val="20"/>
          <w:szCs w:val="20"/>
          <w:lang w:val="en-US"/>
        </w:rPr>
        <w:t>2. Performance Data Collection &amp; Scientific Analysis</w:t>
      </w: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We use precise scientific methodologies to measure product performance, ensuring quantifiable results that can be used for product development, marketing, and regulatory approval.</w:t>
      </w:r>
    </w:p>
    <w:p>
      <w:pPr>
        <w:numPr>
          <w:ilvl w:val="0"/>
          <w:numId w:val="2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Growth Rate &amp; Yield Analysis: Measuring increases in biomass, fruit set, and final harvest yields.</w:t>
      </w:r>
    </w:p>
    <w:p>
      <w:pPr>
        <w:numPr>
          <w:ilvl w:val="0"/>
          <w:numId w:val="2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Soil Health &amp; Microbial Activity Testing: Assessing improvements in nutrient availability, soil structure, and beneficial microbial populations.</w:t>
      </w:r>
    </w:p>
    <w:p>
      <w:pPr>
        <w:numPr>
          <w:ilvl w:val="0"/>
          <w:numId w:val="2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Nutrient Uptake Efficiency: Evaluating how effectively plants absorb and utilize nutrients from organic fertilizers.</w:t>
      </w:r>
    </w:p>
    <w:p>
      <w:pPr>
        <w:numPr>
          <w:ilvl w:val="0"/>
          <w:numId w:val="2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Resistance to Stress Factors: Examining improvements in drought tolerance, pest resistance, and disease suppression.</w:t>
      </w:r>
    </w:p>
    <w:p>
      <w:pPr>
        <w:rPr>
          <w:rFonts w:ascii="Segoe UI" w:cs="Segoe UI" w:hAnsi="Segoe UI"/>
          <w:i/>
          <w:iCs/>
          <w:sz w:val="20"/>
          <w:szCs w:val="20"/>
          <w:lang w:val="en-US"/>
        </w:rPr>
      </w:pPr>
      <w:r>
        <w:rPr>
          <w:rFonts w:ascii="Segoe UI" w:cs="Segoe UI" w:hAnsi="Segoe UI"/>
          <w:i/>
          <w:iCs/>
          <w:sz w:val="20"/>
          <w:szCs w:val="20"/>
          <w:lang w:val="en-US"/>
        </w:rPr>
        <w:t>For example, we may apply a humic acid-based biostimulant to wheat fields and measure its effect on nitrogen uptake efficiency and grain protein content.</w:t>
      </w:r>
    </w:p>
    <w:p>
      <w:pPr>
        <w:rPr>
          <w:rFonts w:ascii="Segoe UI" w:cs="Segoe UI" w:hAnsi="Segoe UI"/>
          <w:b/>
          <w:bCs/>
          <w:sz w:val="20"/>
          <w:szCs w:val="20"/>
          <w:lang w:val="en-US"/>
        </w:rPr>
      </w:pPr>
      <w:r>
        <w:rPr>
          <w:rFonts w:ascii="Segoe UI" w:cs="Segoe UI" w:hAnsi="Segoe UI"/>
          <w:b/>
          <w:bCs/>
          <w:sz w:val="20"/>
          <w:szCs w:val="20"/>
          <w:lang w:val="en-US"/>
        </w:rPr>
        <w:t>3. Advanced Data Interpretation &amp; Reporting</w:t>
      </w: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Our team compiles detailed scientific reports and case studies based on field data, providing valuable insights for:</w:t>
      </w:r>
    </w:p>
    <w:p>
      <w:pPr>
        <w:rPr>
          <w:rFonts w:ascii="Segoe UI" w:cs="Segoe UI" w:hAnsi="Segoe UI"/>
          <w:sz w:val="20"/>
          <w:szCs w:val="20"/>
        </w:rPr>
      </w:pPr>
    </w:p>
    <w:p>
      <w:pPr>
        <w:numPr>
          <w:ilvl w:val="0"/>
          <w:numId w:val="3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Regulatory Approvals: Substantiating claims for certifications such as USDA Organic, OMRI, and EPA registration.</w:t>
      </w:r>
    </w:p>
    <w:p>
      <w:pPr>
        <w:numPr>
          <w:ilvl w:val="0"/>
          <w:numId w:val="3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Marketing &amp; Sales: Equipping businesses with real-world success stories and empirical data to build customer confidence.</w:t>
      </w:r>
    </w:p>
    <w:p>
      <w:pPr>
        <w:numPr>
          <w:ilvl w:val="0"/>
          <w:numId w:val="3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Product Optimization: Helping manufacturers refine formulations based on performance trends.</w:t>
      </w: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Each report includes: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Comprehensive Data Analysis (graphs, charts, and statistical comparisons).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Side-by-Side Comparisons (control vs. treated plots).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Photo Documentation (before-and-after plant growth images).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Scientific Conclusions &amp; Recommendations (actionable insights for product development).</w:t>
      </w:r>
    </w:p>
    <w:p>
      <w:pPr>
        <w:rPr>
          <w:rFonts w:ascii="Segoe UI" w:cs="Segoe UI" w:hAnsi="Segoe UI"/>
          <w:i/>
          <w:iCs/>
          <w:sz w:val="20"/>
          <w:szCs w:val="20"/>
          <w:lang w:val="en-US"/>
        </w:rPr>
      </w:pPr>
      <w:r>
        <w:rPr>
          <w:rFonts w:ascii="Segoe UI" w:cs="Segoe UI" w:hAnsi="Segoe UI"/>
          <w:i/>
          <w:iCs/>
          <w:sz w:val="20"/>
          <w:szCs w:val="20"/>
          <w:lang w:val="en-US"/>
        </w:rPr>
        <w:t>For example, a microbial-based biofertilizer study might reveal a 15% increase in root biomass and a 20% improvement in tomato yield, demonstrating its value to farmers.</w:t>
      </w:r>
    </w:p>
    <w:p>
      <w:pPr>
        <w:rPr>
          <w:rFonts w:ascii="Segoe UI" w:cs="Segoe UI" w:hAnsi="Segoe UI"/>
          <w:b/>
          <w:bCs/>
          <w:sz w:val="20"/>
          <w:szCs w:val="20"/>
          <w:lang w:val="en-US"/>
        </w:rPr>
      </w:pPr>
      <w:r>
        <w:rPr>
          <w:rFonts w:ascii="Segoe UI" w:cs="Segoe UI" w:hAnsi="Segoe UI"/>
          <w:b/>
          <w:bCs/>
          <w:sz w:val="20"/>
          <w:szCs w:val="20"/>
          <w:lang w:val="en-US"/>
        </w:rPr>
        <w:t>4. Field Testing for Regulatory &amp; Certification Compliance</w:t>
      </w: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To streamline regulatory approvals, our field trials generate validated efficacy data required for:</w:t>
      </w:r>
    </w:p>
    <w:p>
      <w:pPr>
        <w:numPr>
          <w:ilvl w:val="0"/>
          <w:numId w:val="4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EPA Registration (for microbial and biologically active inputs).</w:t>
      </w:r>
    </w:p>
    <w:p>
      <w:pPr>
        <w:numPr>
          <w:ilvl w:val="0"/>
          <w:numId w:val="4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USDA Organic &amp; OMRI Certification (proving compliance with organic input standards).</w:t>
      </w:r>
    </w:p>
    <w:p>
      <w:pPr>
        <w:numPr>
          <w:ilvl w:val="0"/>
          <w:numId w:val="4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European &amp; International Standards (ensuring eligibility for export markets).</w:t>
      </w:r>
    </w:p>
    <w:p>
      <w:pPr>
        <w:rPr>
          <w:rFonts w:ascii="Segoe UI" w:cs="Segoe UI" w:hAnsi="Segoe UI"/>
          <w:i/>
          <w:iCs/>
          <w:sz w:val="20"/>
          <w:szCs w:val="20"/>
          <w:lang w:val="en-US"/>
        </w:rPr>
      </w:pPr>
      <w:r>
        <w:rPr>
          <w:rFonts w:ascii="Segoe UI" w:cs="Segoe UI" w:hAnsi="Segoe UI"/>
          <w:i/>
          <w:iCs/>
          <w:sz w:val="20"/>
          <w:szCs w:val="20"/>
          <w:lang w:val="en-US"/>
        </w:rPr>
        <w:t>For example, a new organic phosphorus solubilizer would require trials proving its impact on phosphorus bioavailability before OMRI listing approval.</w:t>
      </w:r>
    </w:p>
    <w:p>
      <w:pPr>
        <w:rPr>
          <w:rFonts w:ascii="Segoe UI" w:cs="Segoe UI" w:hAnsi="Segoe UI"/>
          <w:b/>
          <w:bCs/>
          <w:sz w:val="20"/>
          <w:szCs w:val="20"/>
          <w:lang w:val="en-US"/>
        </w:rPr>
      </w:pPr>
      <w:r>
        <w:rPr>
          <w:rFonts w:ascii="Segoe UI" w:cs="Segoe UI" w:hAnsi="Segoe UI"/>
          <w:b/>
          <w:bCs/>
          <w:sz w:val="20"/>
          <w:szCs w:val="20"/>
          <w:lang w:val="en-US"/>
        </w:rPr>
        <w:t>5. Long-Term Monitoring &amp; Sustainability Assessment</w:t>
      </w: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We offer extended monitoring programs to assess long-term soil health impacts and environmental sustainability, evaluating:</w:t>
      </w:r>
    </w:p>
    <w:p>
      <w:pPr>
        <w:numPr>
          <w:ilvl w:val="0"/>
          <w:numId w:val="5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Residual Effects on Soil Fertility &amp; Microbial Diversity.</w:t>
      </w:r>
    </w:p>
    <w:p>
      <w:pPr>
        <w:numPr>
          <w:ilvl w:val="0"/>
          <w:numId w:val="5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Carbon Sequestration &amp; Environmental Benefits.</w:t>
      </w:r>
    </w:p>
    <w:p>
      <w:pPr>
        <w:numPr>
          <w:ilvl w:val="0"/>
          <w:numId w:val="5"/>
        </w:num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Sustainability Metrics for Organic Farming Practices.</w:t>
      </w:r>
    </w:p>
    <w:p>
      <w:pPr>
        <w:rPr>
          <w:rFonts w:ascii="Segoe UI" w:cs="Segoe UI" w:hAnsi="Segoe UI"/>
          <w:i/>
          <w:iCs/>
          <w:sz w:val="20"/>
          <w:szCs w:val="20"/>
          <w:lang w:val="en-US"/>
        </w:rPr>
      </w:pPr>
      <w:r>
        <w:rPr>
          <w:rFonts w:ascii="Segoe UI" w:cs="Segoe UI" w:hAnsi="Segoe UI"/>
          <w:i/>
          <w:iCs/>
          <w:sz w:val="20"/>
          <w:szCs w:val="20"/>
          <w:lang w:val="en-US"/>
        </w:rPr>
        <w:t>For example, a vermicompost-based fertilizer may be monitored over multiple growing seasons to track its impact on soil organic matter content.</w:t>
      </w:r>
    </w:p>
    <w:p>
      <w:pPr>
        <w:rPr>
          <w:rFonts w:ascii="Segoe UI" w:cs="Segoe UI" w:hAnsi="Segoe UI"/>
          <w:b/>
          <w:bCs/>
          <w:sz w:val="20"/>
          <w:szCs w:val="20"/>
          <w:lang w:val="en-US"/>
        </w:rPr>
      </w:pPr>
      <w:r>
        <w:rPr>
          <w:rFonts w:ascii="Segoe UI" w:cs="Segoe UI" w:hAnsi="Segoe UI"/>
          <w:b/>
          <w:bCs/>
          <w:sz w:val="20"/>
          <w:szCs w:val="20"/>
          <w:lang w:val="en-US"/>
        </w:rPr>
        <w:t>How This Service Benefits Businesses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Provides Scientific Credibility: Third-party field testing offers independent validation of product claims.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Enhances Marketability: Real-world case studies boost sales and customer trust.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Supports Regulatory Approval: Compliance-driven data speeds up certification processes.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Optimizes Product Performance: Scientific insights help fine-tune formulations for maximum efficiency.</w:t>
      </w:r>
    </w:p>
    <w:p>
      <w:pPr>
        <w:rPr>
          <w:rFonts w:ascii="Segoe UI" w:cs="Segoe UI" w:hAnsi="Segoe UI"/>
          <w:sz w:val="20"/>
          <w:szCs w:val="20"/>
        </w:rPr>
      </w:pPr>
      <w:r>
        <w:rPr>
          <w:rFonts w:ascii="Segoe UI" w:cs="Segoe UI" w:hAnsi="Segoe UI"/>
          <w:sz w:val="20"/>
          <w:szCs w:val="20"/>
        </w:rPr>
        <w:t>✔ Demonstrates Sustainability Impact: Helping businesses align with eco-friendly and organic farming trends.</w:t>
      </w: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  <w:lang w:val="en-US"/>
        </w:rPr>
      </w:pPr>
      <w:r>
        <w:rPr>
          <w:rFonts w:ascii="Segoe UI" w:cs="Segoe UI" w:hAnsi="Segoe UI"/>
          <w:sz w:val="20"/>
          <w:szCs w:val="20"/>
          <w:lang w:val="en-US"/>
        </w:rPr>
        <w:t>By leveraging our Field Testing &amp; Research service, businesses gain a competitive edge, ensuring their organic fertilizers and biostimulants are backed by scientific proof and market-ready validation.</w:t>
      </w: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</w:rPr>
      </w:pPr>
    </w:p>
    <w:p>
      <w:pPr>
        <w:rPr>
          <w:rFonts w:ascii="Segoe UI" w:cs="Segoe UI" w:hAnsi="Segoe UI"/>
          <w:sz w:val="20"/>
          <w:szCs w:val="20"/>
        </w:rPr>
      </w:pPr>
    </w:p>
    <w:sectPr>
      <w:footnotePr/>
      <w:footnotePr/>
      <w:type w:val="nextPage"/>
      <w:pgSz w:w="11906" w:h="16838" w:orient="portrait"/>
      <w:pgMar w:top="720" w:right="720" w:bottom="72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Novotorov</dc:creator>
  <cp:lastModifiedBy>Andrew Novotorov</cp:lastModifiedBy>
</cp:coreProperties>
</file>