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b/>
          <w:color w:val="000000"/>
          <w:sz w:val="20"/>
          <w:szCs w:val="20"/>
          <w:rtl w:val="off"/>
          <w:lang w:val="en-US"/>
        </w:rPr>
        <w:t>Italy: A Global Leader in Organic Fertilizers and Biostimulants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rtl w:val="off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 xml:space="preserve">Italy stands at the forefront of organic agriculture and sustainable crop input innovation. Renowned for its advanced research, eco-conscious farming practices, and strict regulatory standards, Italy is home to some of the world’s most trusted producers of organic fertilizers and biostimulants.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rtl w:val="off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 xml:space="preserve">Italian companies lead in developing high-performance solutions derived from natural sources—such as seaweed extracts, humic substances, and amino acid complexes—designed to improve soil health, boost plant resilience, and enhance yield naturally.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With decades of experience and global partnerships, Italy continues to shape the future of regenerative agriculture through science, tradition, and environmental responsibility.</w:t>
      </w:r>
    </w:p>
    <w:p>
      <w:pPr>
        <w:rPr>
          <w:rFonts w:ascii="Arial" w:cs="Arial" w:hAnsi="Arial"/>
          <w:sz w:val="20"/>
          <w:szCs w:val="20"/>
        </w:rPr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Novotorov</dc:creator>
  <cp:lastModifiedBy>Andrew Novotorov</cp:lastModifiedBy>
</cp:coreProperties>
</file>